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55" w:rsidRPr="004D76A9" w:rsidRDefault="00466E55" w:rsidP="00225465">
      <w:pPr>
        <w:jc w:val="both"/>
        <w:rPr>
          <w:rFonts w:ascii="Arial" w:hAnsi="Arial" w:cs="Arial"/>
          <w:color w:val="202020" w:themeColor="text1" w:themeShade="80"/>
          <w:sz w:val="22"/>
          <w:szCs w:val="22"/>
        </w:rPr>
      </w:pPr>
      <w:r w:rsidRPr="004D76A9">
        <w:rPr>
          <w:rFonts w:ascii="Arial" w:hAnsi="Arial" w:cs="Arial"/>
          <w:b/>
          <w:color w:val="202020" w:themeColor="text1" w:themeShade="80"/>
          <w:sz w:val="22"/>
          <w:szCs w:val="22"/>
        </w:rPr>
        <w:t xml:space="preserve">Purpose and </w:t>
      </w:r>
      <w:r w:rsidR="00435BF2" w:rsidRPr="004D76A9">
        <w:rPr>
          <w:rFonts w:ascii="Arial" w:hAnsi="Arial" w:cs="Arial"/>
          <w:b/>
          <w:color w:val="202020" w:themeColor="text1" w:themeShade="80"/>
          <w:sz w:val="22"/>
          <w:szCs w:val="22"/>
        </w:rPr>
        <w:t>Introduction</w:t>
      </w:r>
    </w:p>
    <w:p w:rsidR="00466E55" w:rsidRPr="004D76A9" w:rsidRDefault="00AE1C89" w:rsidP="00225465">
      <w:pPr>
        <w:jc w:val="both"/>
        <w:rPr>
          <w:rFonts w:ascii="Arial" w:hAnsi="Arial" w:cs="Arial"/>
          <w:color w:val="202020" w:themeColor="text1" w:themeShade="80"/>
          <w:sz w:val="22"/>
          <w:szCs w:val="22"/>
        </w:rPr>
      </w:pPr>
      <w:r>
        <w:rPr>
          <w:rFonts w:ascii="Arial" w:hAnsi="Arial" w:cs="Arial"/>
          <w:color w:val="202020" w:themeColor="text1" w:themeShade="80"/>
          <w:sz w:val="22"/>
          <w:szCs w:val="22"/>
        </w:rPr>
        <w:t xml:space="preserve">This Tax Strategy sets out </w:t>
      </w:r>
      <w:r w:rsidR="001307C5">
        <w:rPr>
          <w:rFonts w:ascii="Arial" w:hAnsi="Arial" w:cs="Arial"/>
          <w:color w:val="202020" w:themeColor="text1" w:themeShade="80"/>
          <w:sz w:val="22"/>
          <w:szCs w:val="22"/>
        </w:rPr>
        <w:t>Ebbon-</w:t>
      </w:r>
      <w:r w:rsidR="005176AD">
        <w:rPr>
          <w:rFonts w:ascii="Arial" w:hAnsi="Arial" w:cs="Arial"/>
          <w:color w:val="202020" w:themeColor="text1" w:themeShade="80"/>
          <w:sz w:val="22"/>
          <w:szCs w:val="22"/>
        </w:rPr>
        <w:t xml:space="preserve">Dacs Limited’s </w:t>
      </w:r>
      <w:r w:rsidR="00E005D3" w:rsidRPr="004D76A9">
        <w:rPr>
          <w:rFonts w:ascii="Arial" w:hAnsi="Arial" w:cs="Arial"/>
          <w:color w:val="202020" w:themeColor="text1" w:themeShade="80"/>
          <w:sz w:val="22"/>
          <w:szCs w:val="22"/>
        </w:rPr>
        <w:t>(‘</w:t>
      </w:r>
      <w:r w:rsidR="005176AD">
        <w:rPr>
          <w:rFonts w:ascii="Arial" w:hAnsi="Arial" w:cs="Arial"/>
          <w:color w:val="202020" w:themeColor="text1" w:themeShade="80"/>
          <w:sz w:val="22"/>
          <w:szCs w:val="22"/>
        </w:rPr>
        <w:t>Ebbon</w:t>
      </w:r>
      <w:r w:rsidR="001307C5">
        <w:rPr>
          <w:rFonts w:ascii="Arial" w:hAnsi="Arial" w:cs="Arial"/>
          <w:color w:val="202020" w:themeColor="text1" w:themeShade="80"/>
          <w:sz w:val="22"/>
          <w:szCs w:val="22"/>
        </w:rPr>
        <w:t>-</w:t>
      </w:r>
      <w:r w:rsidR="005176AD">
        <w:rPr>
          <w:rFonts w:ascii="Arial" w:hAnsi="Arial" w:cs="Arial"/>
          <w:color w:val="202020" w:themeColor="text1" w:themeShade="80"/>
          <w:sz w:val="22"/>
          <w:szCs w:val="22"/>
        </w:rPr>
        <w:t>Dacs</w:t>
      </w:r>
      <w:r w:rsidR="00E005D3" w:rsidRPr="004D76A9">
        <w:rPr>
          <w:rFonts w:ascii="Arial" w:hAnsi="Arial" w:cs="Arial"/>
          <w:color w:val="202020" w:themeColor="text1" w:themeShade="80"/>
          <w:sz w:val="22"/>
          <w:szCs w:val="22"/>
        </w:rPr>
        <w:t xml:space="preserve">’) </w:t>
      </w:r>
      <w:r w:rsidR="00466E55" w:rsidRPr="004D76A9">
        <w:rPr>
          <w:rFonts w:ascii="Arial" w:hAnsi="Arial" w:cs="Arial"/>
          <w:color w:val="202020" w:themeColor="text1" w:themeShade="80"/>
          <w:sz w:val="22"/>
          <w:szCs w:val="22"/>
        </w:rPr>
        <w:t xml:space="preserve">approach to tax and satisfies </w:t>
      </w:r>
      <w:r w:rsidR="00E005D3" w:rsidRPr="004D76A9">
        <w:rPr>
          <w:rFonts w:ascii="Arial" w:hAnsi="Arial" w:cs="Arial"/>
          <w:color w:val="202020" w:themeColor="text1" w:themeShade="80"/>
          <w:sz w:val="22"/>
          <w:szCs w:val="22"/>
        </w:rPr>
        <w:t xml:space="preserve">the </w:t>
      </w:r>
      <w:r w:rsidR="00466E55" w:rsidRPr="004D76A9">
        <w:rPr>
          <w:rFonts w:ascii="Arial" w:hAnsi="Arial" w:cs="Arial"/>
          <w:color w:val="202020" w:themeColor="text1" w:themeShade="80"/>
          <w:sz w:val="22"/>
          <w:szCs w:val="22"/>
        </w:rPr>
        <w:t>requirement to publish its tax strategy under Schedule 19 of the Finance Act 2016.</w:t>
      </w:r>
    </w:p>
    <w:p w:rsidR="00466E55" w:rsidRPr="004D76A9" w:rsidRDefault="00435BF2" w:rsidP="00225465">
      <w:pPr>
        <w:jc w:val="both"/>
        <w:rPr>
          <w:rFonts w:ascii="Arial" w:hAnsi="Arial" w:cs="Arial"/>
          <w:color w:val="202020" w:themeColor="text1" w:themeShade="80"/>
          <w:sz w:val="22"/>
          <w:szCs w:val="22"/>
        </w:rPr>
      </w:pPr>
      <w:r w:rsidRPr="004D76A9">
        <w:rPr>
          <w:rFonts w:ascii="Arial" w:hAnsi="Arial" w:cs="Arial"/>
          <w:color w:val="202020" w:themeColor="text1" w:themeShade="80"/>
          <w:sz w:val="22"/>
          <w:szCs w:val="22"/>
        </w:rPr>
        <w:br/>
      </w:r>
      <w:r w:rsidR="00466E55" w:rsidRPr="004D76A9">
        <w:rPr>
          <w:rFonts w:ascii="Arial" w:hAnsi="Arial" w:cs="Arial"/>
          <w:color w:val="202020" w:themeColor="text1" w:themeShade="80"/>
          <w:sz w:val="22"/>
          <w:szCs w:val="22"/>
        </w:rPr>
        <w:t>This Tax Strategy applies to the year ended 30 November 20</w:t>
      </w:r>
      <w:r w:rsidR="007C6EC1">
        <w:rPr>
          <w:rFonts w:ascii="Arial" w:hAnsi="Arial" w:cs="Arial"/>
          <w:color w:val="202020" w:themeColor="text1" w:themeShade="80"/>
          <w:sz w:val="22"/>
          <w:szCs w:val="22"/>
        </w:rPr>
        <w:t>2</w:t>
      </w:r>
      <w:r w:rsidR="00A8687C">
        <w:rPr>
          <w:rFonts w:ascii="Arial" w:hAnsi="Arial" w:cs="Arial"/>
          <w:color w:val="202020" w:themeColor="text1" w:themeShade="80"/>
          <w:sz w:val="22"/>
          <w:szCs w:val="22"/>
        </w:rPr>
        <w:t>1</w:t>
      </w:r>
      <w:r w:rsidR="00466E55" w:rsidRPr="004D76A9">
        <w:rPr>
          <w:rFonts w:ascii="Arial" w:hAnsi="Arial" w:cs="Arial"/>
          <w:color w:val="202020" w:themeColor="text1" w:themeShade="80"/>
          <w:sz w:val="22"/>
          <w:szCs w:val="22"/>
        </w:rPr>
        <w:t xml:space="preserve"> and </w:t>
      </w:r>
      <w:r w:rsidR="00E005D3" w:rsidRPr="004D76A9">
        <w:rPr>
          <w:rFonts w:ascii="Arial" w:hAnsi="Arial" w:cs="Arial"/>
          <w:color w:val="202020" w:themeColor="text1" w:themeShade="80"/>
          <w:sz w:val="22"/>
          <w:szCs w:val="22"/>
        </w:rPr>
        <w:t xml:space="preserve">specifically </w:t>
      </w:r>
      <w:r w:rsidR="00466E55" w:rsidRPr="004D76A9">
        <w:rPr>
          <w:rFonts w:ascii="Arial" w:hAnsi="Arial" w:cs="Arial"/>
          <w:color w:val="202020" w:themeColor="text1" w:themeShade="80"/>
          <w:sz w:val="22"/>
          <w:szCs w:val="22"/>
        </w:rPr>
        <w:t xml:space="preserve">applies to </w:t>
      </w:r>
      <w:proofErr w:type="spellStart"/>
      <w:r w:rsidR="00915CDB">
        <w:rPr>
          <w:rFonts w:ascii="Arial" w:hAnsi="Arial" w:cs="Arial"/>
          <w:color w:val="202020" w:themeColor="text1" w:themeShade="80"/>
          <w:sz w:val="22"/>
          <w:szCs w:val="22"/>
        </w:rPr>
        <w:t>Ebbon-</w:t>
      </w:r>
      <w:r w:rsidR="005176AD">
        <w:rPr>
          <w:rFonts w:ascii="Arial" w:hAnsi="Arial" w:cs="Arial"/>
          <w:color w:val="202020" w:themeColor="text1" w:themeShade="80"/>
          <w:sz w:val="22"/>
          <w:szCs w:val="22"/>
        </w:rPr>
        <w:t>Dacs</w:t>
      </w:r>
      <w:proofErr w:type="spellEnd"/>
      <w:r w:rsidR="00915CDB">
        <w:rPr>
          <w:rFonts w:ascii="Arial" w:hAnsi="Arial" w:cs="Arial"/>
          <w:color w:val="202020" w:themeColor="text1" w:themeShade="80"/>
          <w:sz w:val="22"/>
          <w:szCs w:val="22"/>
        </w:rPr>
        <w:t>, its subsidiar</w:t>
      </w:r>
      <w:r w:rsidR="00A8687C">
        <w:rPr>
          <w:rFonts w:ascii="Arial" w:hAnsi="Arial" w:cs="Arial"/>
          <w:color w:val="202020" w:themeColor="text1" w:themeShade="80"/>
          <w:sz w:val="22"/>
          <w:szCs w:val="22"/>
        </w:rPr>
        <w:t>ies</w:t>
      </w:r>
      <w:r w:rsidR="00915CDB">
        <w:rPr>
          <w:rFonts w:ascii="Arial" w:hAnsi="Arial" w:cs="Arial"/>
          <w:color w:val="202020" w:themeColor="text1" w:themeShade="80"/>
          <w:sz w:val="22"/>
          <w:szCs w:val="22"/>
        </w:rPr>
        <w:t xml:space="preserve"> Licence Check Limited</w:t>
      </w:r>
      <w:r w:rsidR="00A8687C">
        <w:rPr>
          <w:rFonts w:ascii="Arial" w:hAnsi="Arial" w:cs="Arial"/>
          <w:color w:val="202020" w:themeColor="text1" w:themeShade="80"/>
          <w:sz w:val="22"/>
          <w:szCs w:val="22"/>
        </w:rPr>
        <w:t xml:space="preserve">, </w:t>
      </w:r>
      <w:proofErr w:type="spellStart"/>
      <w:r w:rsidR="00A8687C">
        <w:rPr>
          <w:rFonts w:ascii="Arial" w:hAnsi="Arial" w:cs="Arial"/>
          <w:color w:val="202020" w:themeColor="text1" w:themeShade="80"/>
          <w:sz w:val="22"/>
          <w:szCs w:val="22"/>
        </w:rPr>
        <w:t>Drivercheck</w:t>
      </w:r>
      <w:proofErr w:type="spellEnd"/>
      <w:r w:rsidR="00A8687C">
        <w:rPr>
          <w:rFonts w:ascii="Arial" w:hAnsi="Arial" w:cs="Arial"/>
          <w:color w:val="202020" w:themeColor="text1" w:themeShade="80"/>
          <w:sz w:val="22"/>
          <w:szCs w:val="22"/>
        </w:rPr>
        <w:t xml:space="preserve"> Limited and </w:t>
      </w:r>
      <w:proofErr w:type="spellStart"/>
      <w:r w:rsidR="00A8687C">
        <w:rPr>
          <w:rFonts w:ascii="Arial" w:hAnsi="Arial" w:cs="Arial"/>
          <w:color w:val="202020" w:themeColor="text1" w:themeShade="80"/>
          <w:sz w:val="22"/>
          <w:szCs w:val="22"/>
        </w:rPr>
        <w:t>Ebbon</w:t>
      </w:r>
      <w:proofErr w:type="spellEnd"/>
      <w:r w:rsidR="00A8687C">
        <w:rPr>
          <w:rFonts w:ascii="Arial" w:hAnsi="Arial" w:cs="Arial"/>
          <w:color w:val="202020" w:themeColor="text1" w:themeShade="80"/>
          <w:sz w:val="22"/>
          <w:szCs w:val="22"/>
        </w:rPr>
        <w:t xml:space="preserve"> Intelligence and its sister companies</w:t>
      </w:r>
      <w:bookmarkStart w:id="0" w:name="_GoBack"/>
      <w:bookmarkEnd w:id="0"/>
      <w:r w:rsidR="00A8687C">
        <w:rPr>
          <w:rFonts w:ascii="Arial" w:hAnsi="Arial" w:cs="Arial"/>
          <w:color w:val="202020" w:themeColor="text1" w:themeShade="80"/>
          <w:sz w:val="22"/>
          <w:szCs w:val="22"/>
        </w:rPr>
        <w:t xml:space="preserve"> Ambit Technology Limited and DAVIS Consult Limited.</w:t>
      </w:r>
    </w:p>
    <w:p w:rsidR="00466E55" w:rsidRPr="004D76A9" w:rsidRDefault="00466E55" w:rsidP="00225465">
      <w:pPr>
        <w:jc w:val="both"/>
        <w:rPr>
          <w:rFonts w:ascii="Arial" w:hAnsi="Arial" w:cs="Arial"/>
          <w:color w:val="202020" w:themeColor="text1" w:themeShade="80"/>
          <w:sz w:val="22"/>
          <w:szCs w:val="22"/>
        </w:rPr>
      </w:pPr>
    </w:p>
    <w:p w:rsidR="00466E55" w:rsidRPr="005176AD" w:rsidRDefault="00466E55" w:rsidP="00466E55">
      <w:pPr>
        <w:spacing w:after="100" w:afterAutospacing="1"/>
        <w:rPr>
          <w:rFonts w:ascii="Arial" w:eastAsia="Times New Roman" w:hAnsi="Arial" w:cs="Arial"/>
          <w:color w:val="202020" w:themeColor="text1" w:themeShade="80"/>
          <w:sz w:val="22"/>
          <w:szCs w:val="22"/>
        </w:rPr>
      </w:pPr>
      <w:r w:rsidRPr="005176AD">
        <w:rPr>
          <w:rFonts w:ascii="Arial" w:eastAsia="Times New Roman" w:hAnsi="Arial" w:cs="Arial"/>
          <w:color w:val="202020" w:themeColor="text1" w:themeShade="80"/>
          <w:sz w:val="22"/>
          <w:szCs w:val="22"/>
        </w:rPr>
        <w:t xml:space="preserve">As a business, </w:t>
      </w:r>
      <w:r w:rsidR="005176AD" w:rsidRPr="005176AD">
        <w:rPr>
          <w:rFonts w:ascii="Arial" w:eastAsia="Times New Roman" w:hAnsi="Arial" w:cs="Arial"/>
          <w:color w:val="202020" w:themeColor="text1" w:themeShade="80"/>
          <w:sz w:val="22"/>
          <w:szCs w:val="22"/>
        </w:rPr>
        <w:t>Ebbon</w:t>
      </w:r>
      <w:r w:rsidR="001307C5">
        <w:rPr>
          <w:rFonts w:ascii="Arial" w:eastAsia="Times New Roman" w:hAnsi="Arial" w:cs="Arial"/>
          <w:color w:val="202020" w:themeColor="text1" w:themeShade="80"/>
          <w:sz w:val="22"/>
          <w:szCs w:val="22"/>
        </w:rPr>
        <w:t>-</w:t>
      </w:r>
      <w:r w:rsidR="005176AD" w:rsidRPr="005176AD">
        <w:rPr>
          <w:rFonts w:ascii="Arial" w:eastAsia="Times New Roman" w:hAnsi="Arial" w:cs="Arial"/>
          <w:color w:val="202020" w:themeColor="text1" w:themeShade="80"/>
          <w:sz w:val="22"/>
          <w:szCs w:val="22"/>
        </w:rPr>
        <w:t>Dacs</w:t>
      </w:r>
      <w:r w:rsidRPr="005176AD">
        <w:rPr>
          <w:rFonts w:ascii="Arial" w:eastAsia="Times New Roman" w:hAnsi="Arial" w:cs="Arial"/>
          <w:color w:val="202020" w:themeColor="text1" w:themeShade="80"/>
          <w:sz w:val="22"/>
          <w:szCs w:val="22"/>
        </w:rPr>
        <w:t xml:space="preserve"> </w:t>
      </w:r>
      <w:r w:rsidR="005176AD" w:rsidRPr="005176AD">
        <w:rPr>
          <w:rFonts w:ascii="Arial" w:hAnsi="Arial" w:cs="Arial"/>
          <w:color w:val="141412"/>
          <w:sz w:val="22"/>
          <w:szCs w:val="22"/>
        </w:rPr>
        <w:t xml:space="preserve">provides hosted, web based technology solutions to the automotive contract hire and leasing community. </w:t>
      </w:r>
      <w:r w:rsidRPr="005176AD">
        <w:rPr>
          <w:rFonts w:ascii="Arial" w:eastAsia="Times New Roman" w:hAnsi="Arial" w:cs="Arial"/>
          <w:color w:val="202020" w:themeColor="text1" w:themeShade="80"/>
          <w:sz w:val="22"/>
          <w:szCs w:val="22"/>
        </w:rPr>
        <w:t xml:space="preserve">All </w:t>
      </w:r>
      <w:r w:rsidR="00E005D3" w:rsidRPr="005176AD">
        <w:rPr>
          <w:rFonts w:ascii="Arial" w:eastAsia="Times New Roman" w:hAnsi="Arial" w:cs="Arial"/>
          <w:color w:val="202020" w:themeColor="text1" w:themeShade="80"/>
          <w:sz w:val="22"/>
          <w:szCs w:val="22"/>
        </w:rPr>
        <w:t xml:space="preserve">our </w:t>
      </w:r>
      <w:r w:rsidRPr="005176AD">
        <w:rPr>
          <w:rFonts w:ascii="Arial" w:eastAsia="Times New Roman" w:hAnsi="Arial" w:cs="Arial"/>
          <w:color w:val="202020" w:themeColor="text1" w:themeShade="80"/>
          <w:sz w:val="22"/>
          <w:szCs w:val="22"/>
        </w:rPr>
        <w:t xml:space="preserve">sites </w:t>
      </w:r>
      <w:r w:rsidR="00AE1C89" w:rsidRPr="005176AD">
        <w:rPr>
          <w:rFonts w:ascii="Arial" w:eastAsia="Times New Roman" w:hAnsi="Arial" w:cs="Arial"/>
          <w:color w:val="202020" w:themeColor="text1" w:themeShade="80"/>
          <w:sz w:val="22"/>
          <w:szCs w:val="22"/>
        </w:rPr>
        <w:t xml:space="preserve">are </w:t>
      </w:r>
      <w:r w:rsidRPr="005176AD">
        <w:rPr>
          <w:rFonts w:ascii="Arial" w:eastAsia="Times New Roman" w:hAnsi="Arial" w:cs="Arial"/>
          <w:color w:val="202020" w:themeColor="text1" w:themeShade="80"/>
          <w:sz w:val="22"/>
          <w:szCs w:val="22"/>
        </w:rPr>
        <w:t>l</w:t>
      </w:r>
      <w:r w:rsidR="005176AD">
        <w:rPr>
          <w:rFonts w:ascii="Arial" w:eastAsia="Times New Roman" w:hAnsi="Arial" w:cs="Arial"/>
          <w:color w:val="202020" w:themeColor="text1" w:themeShade="80"/>
          <w:sz w:val="22"/>
          <w:szCs w:val="22"/>
        </w:rPr>
        <w:t>ocated geographically in the UK with our customer base primarily within the UK.</w:t>
      </w:r>
      <w:r w:rsidRPr="005176AD">
        <w:rPr>
          <w:rFonts w:ascii="Arial" w:eastAsia="Times New Roman" w:hAnsi="Arial" w:cs="Arial"/>
          <w:color w:val="202020" w:themeColor="text1" w:themeShade="80"/>
          <w:sz w:val="22"/>
          <w:szCs w:val="22"/>
        </w:rPr>
        <w:t xml:space="preserve"> </w:t>
      </w:r>
    </w:p>
    <w:p w:rsidR="00466E55" w:rsidRPr="004D76A9" w:rsidRDefault="005176AD" w:rsidP="00466E55">
      <w:pPr>
        <w:spacing w:after="100" w:afterAutospacing="1"/>
        <w:rPr>
          <w:rFonts w:ascii="Arial" w:eastAsia="Times New Roman" w:hAnsi="Arial" w:cs="Arial"/>
          <w:color w:val="202020" w:themeColor="text1" w:themeShade="80"/>
          <w:sz w:val="22"/>
          <w:szCs w:val="22"/>
        </w:rPr>
      </w:pPr>
      <w:r>
        <w:rPr>
          <w:rFonts w:ascii="Arial" w:eastAsia="Times New Roman" w:hAnsi="Arial" w:cs="Arial"/>
          <w:color w:val="202020" w:themeColor="text1" w:themeShade="80"/>
          <w:sz w:val="22"/>
          <w:szCs w:val="22"/>
        </w:rPr>
        <w:t>Ebbon</w:t>
      </w:r>
      <w:r w:rsidR="001307C5">
        <w:rPr>
          <w:rFonts w:ascii="Arial" w:eastAsia="Times New Roman" w:hAnsi="Arial" w:cs="Arial"/>
          <w:color w:val="202020" w:themeColor="text1" w:themeShade="80"/>
          <w:sz w:val="22"/>
          <w:szCs w:val="22"/>
        </w:rPr>
        <w:t>-</w:t>
      </w:r>
      <w:r>
        <w:rPr>
          <w:rFonts w:ascii="Arial" w:eastAsia="Times New Roman" w:hAnsi="Arial" w:cs="Arial"/>
          <w:color w:val="202020" w:themeColor="text1" w:themeShade="80"/>
          <w:sz w:val="22"/>
          <w:szCs w:val="22"/>
        </w:rPr>
        <w:t xml:space="preserve">Dacs </w:t>
      </w:r>
      <w:r w:rsidR="00E005D3" w:rsidRPr="004D76A9">
        <w:rPr>
          <w:rFonts w:ascii="Arial" w:eastAsia="Times New Roman" w:hAnsi="Arial" w:cs="Arial"/>
          <w:color w:val="202020" w:themeColor="text1" w:themeShade="80"/>
          <w:sz w:val="22"/>
          <w:szCs w:val="22"/>
        </w:rPr>
        <w:t xml:space="preserve">principal activities include </w:t>
      </w:r>
      <w:r w:rsidR="00E404AB">
        <w:rPr>
          <w:rFonts w:ascii="Arial" w:eastAsia="Times New Roman" w:hAnsi="Arial" w:cs="Arial"/>
          <w:color w:val="202020" w:themeColor="text1" w:themeShade="80"/>
          <w:sz w:val="22"/>
          <w:szCs w:val="22"/>
        </w:rPr>
        <w:t xml:space="preserve">the provision of electronic business solutions to the automobile industry whilst Ambit </w:t>
      </w:r>
      <w:r w:rsidR="00A8687C">
        <w:rPr>
          <w:rFonts w:ascii="Arial" w:eastAsia="Times New Roman" w:hAnsi="Arial" w:cs="Arial"/>
          <w:color w:val="202020" w:themeColor="text1" w:themeShade="80"/>
          <w:sz w:val="22"/>
          <w:szCs w:val="22"/>
        </w:rPr>
        <w:t xml:space="preserve">provide a </w:t>
      </w:r>
      <w:r w:rsidR="00E404AB">
        <w:rPr>
          <w:rFonts w:ascii="Arial" w:eastAsia="Times New Roman" w:hAnsi="Arial" w:cs="Arial"/>
          <w:color w:val="202020" w:themeColor="text1" w:themeShade="80"/>
          <w:sz w:val="22"/>
          <w:szCs w:val="22"/>
        </w:rPr>
        <w:t xml:space="preserve">mobile </w:t>
      </w:r>
      <w:r w:rsidR="001307C5">
        <w:rPr>
          <w:rFonts w:ascii="Arial" w:eastAsia="Times New Roman" w:hAnsi="Arial" w:cs="Arial"/>
          <w:color w:val="202020" w:themeColor="text1" w:themeShade="80"/>
          <w:sz w:val="22"/>
          <w:szCs w:val="22"/>
        </w:rPr>
        <w:t>application that</w:t>
      </w:r>
      <w:r w:rsidR="00E404AB">
        <w:rPr>
          <w:rFonts w:ascii="Arial" w:eastAsia="Times New Roman" w:hAnsi="Arial" w:cs="Arial"/>
          <w:color w:val="202020" w:themeColor="text1" w:themeShade="80"/>
          <w:sz w:val="22"/>
          <w:szCs w:val="22"/>
        </w:rPr>
        <w:t xml:space="preserve"> companies can use to manage their workplace vehicles and drivers.</w:t>
      </w:r>
      <w:r w:rsidR="00466E55" w:rsidRPr="004D76A9">
        <w:rPr>
          <w:rFonts w:ascii="Arial" w:eastAsia="Times New Roman" w:hAnsi="Arial" w:cs="Arial"/>
          <w:color w:val="202020" w:themeColor="text1" w:themeShade="80"/>
          <w:sz w:val="22"/>
          <w:szCs w:val="22"/>
        </w:rPr>
        <w:t xml:space="preserve"> </w:t>
      </w:r>
      <w:r w:rsidR="00915CDB">
        <w:rPr>
          <w:rFonts w:ascii="Arial" w:eastAsia="Times New Roman" w:hAnsi="Arial" w:cs="Arial"/>
          <w:color w:val="202020" w:themeColor="text1" w:themeShade="80"/>
          <w:sz w:val="22"/>
          <w:szCs w:val="22"/>
        </w:rPr>
        <w:t xml:space="preserve"> </w:t>
      </w:r>
      <w:proofErr w:type="spellStart"/>
      <w:r w:rsidR="00A8687C">
        <w:rPr>
          <w:rFonts w:ascii="Arial" w:eastAsia="Times New Roman" w:hAnsi="Arial" w:cs="Arial"/>
          <w:color w:val="202020" w:themeColor="text1" w:themeShade="80"/>
          <w:sz w:val="22"/>
          <w:szCs w:val="22"/>
        </w:rPr>
        <w:t>Drivercheck</w:t>
      </w:r>
      <w:proofErr w:type="spellEnd"/>
      <w:r w:rsidR="00A8687C">
        <w:rPr>
          <w:rFonts w:ascii="Arial" w:eastAsia="Times New Roman" w:hAnsi="Arial" w:cs="Arial"/>
          <w:color w:val="202020" w:themeColor="text1" w:themeShade="80"/>
          <w:sz w:val="22"/>
          <w:szCs w:val="22"/>
        </w:rPr>
        <w:t xml:space="preserve"> and </w:t>
      </w:r>
      <w:r w:rsidR="00915CDB">
        <w:rPr>
          <w:rFonts w:ascii="Arial" w:eastAsia="Times New Roman" w:hAnsi="Arial" w:cs="Arial"/>
          <w:color w:val="202020" w:themeColor="text1" w:themeShade="80"/>
          <w:sz w:val="22"/>
          <w:szCs w:val="22"/>
        </w:rPr>
        <w:t>Licence Check provide real time driving licence checking service</w:t>
      </w:r>
      <w:r w:rsidR="00A8687C">
        <w:rPr>
          <w:rFonts w:ascii="Arial" w:eastAsia="Times New Roman" w:hAnsi="Arial" w:cs="Arial"/>
          <w:color w:val="202020" w:themeColor="text1" w:themeShade="80"/>
          <w:sz w:val="22"/>
          <w:szCs w:val="22"/>
        </w:rPr>
        <w:t>s</w:t>
      </w:r>
      <w:r w:rsidR="00915CDB">
        <w:rPr>
          <w:rFonts w:ascii="Arial" w:eastAsia="Times New Roman" w:hAnsi="Arial" w:cs="Arial"/>
          <w:color w:val="202020" w:themeColor="text1" w:themeShade="80"/>
          <w:sz w:val="22"/>
          <w:szCs w:val="22"/>
        </w:rPr>
        <w:t xml:space="preserve"> using the DVLA’s Access to Driver Data service.</w:t>
      </w:r>
    </w:p>
    <w:p w:rsidR="00466E55" w:rsidRPr="004D76A9" w:rsidRDefault="000D5ECD" w:rsidP="000D5ECD">
      <w:pPr>
        <w:spacing w:after="100" w:afterAutospacing="1"/>
        <w:rPr>
          <w:rFonts w:ascii="Arial" w:eastAsia="Times New Roman" w:hAnsi="Arial" w:cs="Arial"/>
          <w:color w:val="202020" w:themeColor="text1" w:themeShade="80"/>
          <w:sz w:val="22"/>
          <w:szCs w:val="22"/>
        </w:rPr>
      </w:pPr>
      <w:r w:rsidRPr="004D76A9">
        <w:rPr>
          <w:rFonts w:ascii="Arial" w:eastAsia="Times New Roman" w:hAnsi="Arial" w:cs="Arial"/>
          <w:color w:val="202020" w:themeColor="text1" w:themeShade="80"/>
          <w:sz w:val="22"/>
          <w:szCs w:val="22"/>
        </w:rPr>
        <w:t xml:space="preserve">At </w:t>
      </w:r>
      <w:r w:rsidR="00E404AB">
        <w:rPr>
          <w:rFonts w:ascii="Arial" w:eastAsia="Times New Roman" w:hAnsi="Arial" w:cs="Arial"/>
          <w:color w:val="202020" w:themeColor="text1" w:themeShade="80"/>
          <w:sz w:val="22"/>
          <w:szCs w:val="22"/>
        </w:rPr>
        <w:t>Ebbon</w:t>
      </w:r>
      <w:r w:rsidR="001307C5">
        <w:rPr>
          <w:rFonts w:ascii="Arial" w:eastAsia="Times New Roman" w:hAnsi="Arial" w:cs="Arial"/>
          <w:color w:val="202020" w:themeColor="text1" w:themeShade="80"/>
          <w:sz w:val="22"/>
          <w:szCs w:val="22"/>
        </w:rPr>
        <w:t>-</w:t>
      </w:r>
      <w:r w:rsidR="00E404AB">
        <w:rPr>
          <w:rFonts w:ascii="Arial" w:eastAsia="Times New Roman" w:hAnsi="Arial" w:cs="Arial"/>
          <w:color w:val="202020" w:themeColor="text1" w:themeShade="80"/>
          <w:sz w:val="22"/>
          <w:szCs w:val="22"/>
        </w:rPr>
        <w:t>Dacs</w:t>
      </w:r>
      <w:r w:rsidRPr="004D76A9">
        <w:rPr>
          <w:rFonts w:ascii="Arial" w:eastAsia="Times New Roman" w:hAnsi="Arial" w:cs="Arial"/>
          <w:color w:val="202020" w:themeColor="text1" w:themeShade="80"/>
          <w:sz w:val="22"/>
          <w:szCs w:val="22"/>
        </w:rPr>
        <w:t xml:space="preserve">, we take our commitment to ethical behaviour very seriously, and this is set out within our Code of Ethics (click </w:t>
      </w:r>
      <w:hyperlink r:id="rId8" w:history="1">
        <w:r w:rsidRPr="004D76A9">
          <w:rPr>
            <w:rStyle w:val="Hyperlink"/>
            <w:rFonts w:ascii="Arial" w:eastAsia="Times New Roman" w:hAnsi="Arial" w:cs="Arial"/>
            <w:color w:val="202020" w:themeColor="text1" w:themeShade="80"/>
            <w:sz w:val="22"/>
            <w:szCs w:val="22"/>
          </w:rPr>
          <w:t>here</w:t>
        </w:r>
      </w:hyperlink>
      <w:r w:rsidRPr="004D76A9">
        <w:rPr>
          <w:rFonts w:ascii="Arial" w:eastAsia="Times New Roman" w:hAnsi="Arial" w:cs="Arial"/>
          <w:color w:val="202020" w:themeColor="text1" w:themeShade="80"/>
          <w:sz w:val="22"/>
          <w:szCs w:val="22"/>
        </w:rPr>
        <w:t xml:space="preserve">).  This Code of Ethics sets </w:t>
      </w:r>
      <w:r w:rsidR="001A225A" w:rsidRPr="004D76A9">
        <w:rPr>
          <w:rFonts w:ascii="Arial" w:eastAsia="Times New Roman" w:hAnsi="Arial" w:cs="Arial"/>
          <w:color w:val="202020" w:themeColor="text1" w:themeShade="80"/>
          <w:sz w:val="22"/>
          <w:szCs w:val="22"/>
        </w:rPr>
        <w:t xml:space="preserve">out </w:t>
      </w:r>
      <w:r w:rsidRPr="004D76A9">
        <w:rPr>
          <w:rFonts w:ascii="Arial" w:eastAsia="Times New Roman" w:hAnsi="Arial" w:cs="Arial"/>
          <w:color w:val="202020" w:themeColor="text1" w:themeShade="80"/>
          <w:sz w:val="22"/>
          <w:szCs w:val="22"/>
        </w:rPr>
        <w:t xml:space="preserve">our </w:t>
      </w:r>
      <w:r w:rsidRPr="004D76A9">
        <w:rPr>
          <w:rStyle w:val="redactor-invisible-space"/>
          <w:rFonts w:ascii="Arial" w:hAnsi="Arial" w:cs="Arial"/>
          <w:color w:val="202020" w:themeColor="text1" w:themeShade="80"/>
          <w:sz w:val="22"/>
          <w:szCs w:val="22"/>
        </w:rPr>
        <w:t xml:space="preserve">values that support </w:t>
      </w:r>
      <w:r w:rsidR="001A225A" w:rsidRPr="004D76A9">
        <w:rPr>
          <w:rStyle w:val="redactor-invisible-space"/>
          <w:rFonts w:ascii="Arial" w:hAnsi="Arial" w:cs="Arial"/>
          <w:color w:val="202020" w:themeColor="text1" w:themeShade="80"/>
          <w:sz w:val="22"/>
          <w:szCs w:val="22"/>
        </w:rPr>
        <w:t>“</w:t>
      </w:r>
      <w:r w:rsidRPr="004D76A9">
        <w:rPr>
          <w:rStyle w:val="redactor-invisible-space"/>
          <w:rFonts w:ascii="Arial" w:hAnsi="Arial" w:cs="Arial"/>
          <w:color w:val="202020" w:themeColor="text1" w:themeShade="80"/>
          <w:sz w:val="22"/>
          <w:szCs w:val="22"/>
        </w:rPr>
        <w:t xml:space="preserve">our employees, in accordance to his or her judgement and sense of responsibility, to seek and take the correct decision in any given situation, in accordance with the laws and regulations applicable in the countries in which the </w:t>
      </w:r>
      <w:r w:rsidR="00E404AB">
        <w:rPr>
          <w:rStyle w:val="redactor-invisible-space"/>
          <w:rFonts w:ascii="Arial" w:hAnsi="Arial" w:cs="Arial"/>
          <w:color w:val="202020" w:themeColor="text1" w:themeShade="80"/>
          <w:sz w:val="22"/>
          <w:szCs w:val="22"/>
        </w:rPr>
        <w:t>company</w:t>
      </w:r>
      <w:r w:rsidRPr="004D76A9">
        <w:rPr>
          <w:rStyle w:val="redactor-invisible-space"/>
          <w:rFonts w:ascii="Arial" w:hAnsi="Arial" w:cs="Arial"/>
          <w:color w:val="202020" w:themeColor="text1" w:themeShade="80"/>
          <w:sz w:val="22"/>
          <w:szCs w:val="22"/>
        </w:rPr>
        <w:t xml:space="preserve"> operates and the social, societal and environmental commitments under taken</w:t>
      </w:r>
      <w:r w:rsidRPr="004D76A9">
        <w:rPr>
          <w:rFonts w:ascii="Arial" w:eastAsia="Times New Roman" w:hAnsi="Arial" w:cs="Arial"/>
          <w:color w:val="202020" w:themeColor="text1" w:themeShade="80"/>
          <w:sz w:val="22"/>
          <w:szCs w:val="22"/>
        </w:rPr>
        <w:t>.</w:t>
      </w:r>
      <w:r w:rsidR="001A225A" w:rsidRPr="004D76A9">
        <w:rPr>
          <w:rFonts w:ascii="Arial" w:eastAsia="Times New Roman" w:hAnsi="Arial" w:cs="Arial"/>
          <w:color w:val="202020" w:themeColor="text1" w:themeShade="80"/>
          <w:sz w:val="22"/>
          <w:szCs w:val="22"/>
        </w:rPr>
        <w:t>”</w:t>
      </w:r>
    </w:p>
    <w:p w:rsidR="00E404AB" w:rsidRPr="004D76A9" w:rsidRDefault="001307C5" w:rsidP="00E404AB">
      <w:pPr>
        <w:jc w:val="both"/>
        <w:rPr>
          <w:rFonts w:ascii="Arial" w:hAnsi="Arial" w:cs="Arial"/>
          <w:color w:val="202020" w:themeColor="text1" w:themeShade="80"/>
          <w:sz w:val="22"/>
          <w:szCs w:val="22"/>
        </w:rPr>
      </w:pPr>
      <w:r>
        <w:rPr>
          <w:rFonts w:ascii="Arial" w:eastAsia="Times New Roman" w:hAnsi="Arial" w:cs="Arial"/>
          <w:color w:val="202020" w:themeColor="text1" w:themeShade="80"/>
          <w:sz w:val="22"/>
          <w:szCs w:val="22"/>
        </w:rPr>
        <w:t>Our</w:t>
      </w:r>
      <w:r w:rsidRPr="004D76A9">
        <w:rPr>
          <w:rFonts w:ascii="Arial" w:eastAsia="Times New Roman" w:hAnsi="Arial" w:cs="Arial"/>
          <w:color w:val="202020" w:themeColor="text1" w:themeShade="80"/>
          <w:sz w:val="22"/>
          <w:szCs w:val="22"/>
        </w:rPr>
        <w:t xml:space="preserve"> Tax Strategy </w:t>
      </w:r>
      <w:proofErr w:type="gramStart"/>
      <w:r>
        <w:rPr>
          <w:rFonts w:ascii="Arial" w:eastAsia="Times New Roman" w:hAnsi="Arial" w:cs="Arial"/>
          <w:color w:val="202020" w:themeColor="text1" w:themeShade="80"/>
          <w:sz w:val="22"/>
          <w:szCs w:val="22"/>
        </w:rPr>
        <w:t>was reviewed</w:t>
      </w:r>
      <w:proofErr w:type="gramEnd"/>
      <w:r>
        <w:rPr>
          <w:rFonts w:ascii="Arial" w:eastAsia="Times New Roman" w:hAnsi="Arial" w:cs="Arial"/>
          <w:color w:val="202020" w:themeColor="text1" w:themeShade="80"/>
          <w:sz w:val="22"/>
          <w:szCs w:val="22"/>
        </w:rPr>
        <w:t xml:space="preserve"> at the date of approval of </w:t>
      </w:r>
      <w:r w:rsidR="00A8687C">
        <w:rPr>
          <w:rFonts w:ascii="Arial" w:eastAsia="Times New Roman" w:hAnsi="Arial" w:cs="Arial"/>
          <w:color w:val="202020" w:themeColor="text1" w:themeShade="80"/>
          <w:sz w:val="22"/>
          <w:szCs w:val="22"/>
        </w:rPr>
        <w:t>24</w:t>
      </w:r>
      <w:r>
        <w:rPr>
          <w:rFonts w:ascii="Arial" w:eastAsia="Times New Roman" w:hAnsi="Arial" w:cs="Arial"/>
          <w:color w:val="202020" w:themeColor="text1" w:themeShade="80"/>
          <w:sz w:val="22"/>
          <w:szCs w:val="22"/>
        </w:rPr>
        <w:t xml:space="preserve"> November 20</w:t>
      </w:r>
      <w:r w:rsidR="007C6EC1">
        <w:rPr>
          <w:rFonts w:ascii="Arial" w:eastAsia="Times New Roman" w:hAnsi="Arial" w:cs="Arial"/>
          <w:color w:val="202020" w:themeColor="text1" w:themeShade="80"/>
          <w:sz w:val="22"/>
          <w:szCs w:val="22"/>
        </w:rPr>
        <w:t>2</w:t>
      </w:r>
      <w:r w:rsidR="00A8687C">
        <w:rPr>
          <w:rFonts w:ascii="Arial" w:eastAsia="Times New Roman" w:hAnsi="Arial" w:cs="Arial"/>
          <w:color w:val="202020" w:themeColor="text1" w:themeShade="80"/>
          <w:sz w:val="22"/>
          <w:szCs w:val="22"/>
        </w:rPr>
        <w:t>1</w:t>
      </w:r>
      <w:r>
        <w:rPr>
          <w:rFonts w:ascii="Arial" w:eastAsia="Times New Roman" w:hAnsi="Arial" w:cs="Arial"/>
          <w:color w:val="202020" w:themeColor="text1" w:themeShade="80"/>
          <w:sz w:val="22"/>
          <w:szCs w:val="22"/>
        </w:rPr>
        <w:t xml:space="preserve"> and will continue to be </w:t>
      </w:r>
      <w:r w:rsidRPr="004D76A9">
        <w:rPr>
          <w:rFonts w:ascii="Arial" w:eastAsia="Times New Roman" w:hAnsi="Arial" w:cs="Arial"/>
          <w:color w:val="202020" w:themeColor="text1" w:themeShade="80"/>
          <w:sz w:val="22"/>
          <w:szCs w:val="22"/>
        </w:rPr>
        <w:t>reviewed annually.</w:t>
      </w:r>
      <w:r>
        <w:rPr>
          <w:rFonts w:ascii="Arial" w:eastAsia="Times New Roman" w:hAnsi="Arial" w:cs="Arial"/>
          <w:color w:val="202020" w:themeColor="text1" w:themeShade="80"/>
          <w:sz w:val="22"/>
          <w:szCs w:val="22"/>
        </w:rPr>
        <w:t xml:space="preserve"> Ebbon-Dacs has</w:t>
      </w:r>
      <w:r w:rsidR="00915CDB" w:rsidRPr="004D76A9">
        <w:rPr>
          <w:rFonts w:ascii="Arial" w:hAnsi="Arial" w:cs="Arial"/>
          <w:color w:val="202020" w:themeColor="text1" w:themeShade="80"/>
          <w:sz w:val="22"/>
          <w:szCs w:val="22"/>
        </w:rPr>
        <w:t xml:space="preserve"> historically operated under the principles as set out below, and we are committed to the ongoing delivery of this Tax Strategy throughout the business.</w:t>
      </w:r>
    </w:p>
    <w:p w:rsidR="000D5ECD" w:rsidRPr="004D76A9" w:rsidRDefault="00726D2C" w:rsidP="000D5ECD">
      <w:pPr>
        <w:spacing w:after="100" w:afterAutospacing="1"/>
        <w:rPr>
          <w:rFonts w:ascii="Arial" w:eastAsia="Times New Roman" w:hAnsi="Arial" w:cs="Arial"/>
          <w:color w:val="202020" w:themeColor="text1" w:themeShade="80"/>
          <w:sz w:val="22"/>
          <w:szCs w:val="22"/>
        </w:rPr>
      </w:pPr>
      <w:r w:rsidRPr="004D76A9">
        <w:rPr>
          <w:rFonts w:ascii="Arial" w:eastAsia="Times New Roman" w:hAnsi="Arial" w:cs="Arial"/>
          <w:color w:val="202020" w:themeColor="text1" w:themeShade="80"/>
          <w:sz w:val="22"/>
          <w:szCs w:val="22"/>
        </w:rPr>
        <w:br/>
      </w:r>
      <w:r w:rsidR="000D5ECD" w:rsidRPr="004D76A9">
        <w:rPr>
          <w:rFonts w:ascii="Arial" w:eastAsia="Times New Roman" w:hAnsi="Arial" w:cs="Arial"/>
          <w:color w:val="202020" w:themeColor="text1" w:themeShade="80"/>
          <w:sz w:val="22"/>
          <w:szCs w:val="22"/>
        </w:rPr>
        <w:t>The principles of our Tax Strategy align to our Code of Ethics and in this regard, our key principles are focused on:</w:t>
      </w:r>
    </w:p>
    <w:p w:rsidR="000D5ECD" w:rsidRPr="004D76A9" w:rsidRDefault="000D5ECD" w:rsidP="00967A4B">
      <w:pPr>
        <w:pStyle w:val="ListParagraph"/>
        <w:numPr>
          <w:ilvl w:val="0"/>
          <w:numId w:val="5"/>
        </w:numPr>
        <w:spacing w:after="100" w:afterAutospacing="1"/>
        <w:rPr>
          <w:rFonts w:ascii="Arial" w:eastAsia="Times New Roman" w:hAnsi="Arial" w:cs="Arial"/>
          <w:color w:val="202020" w:themeColor="text1" w:themeShade="80"/>
          <w:sz w:val="22"/>
          <w:szCs w:val="22"/>
        </w:rPr>
      </w:pPr>
      <w:r w:rsidRPr="004D76A9">
        <w:rPr>
          <w:rFonts w:ascii="Arial" w:eastAsia="Times New Roman" w:hAnsi="Arial" w:cs="Arial"/>
          <w:color w:val="202020" w:themeColor="text1" w:themeShade="80"/>
          <w:sz w:val="22"/>
          <w:szCs w:val="22"/>
        </w:rPr>
        <w:t>Our commitment to act in accordance with all applicable tax laws and regulations</w:t>
      </w:r>
    </w:p>
    <w:p w:rsidR="000D5ECD" w:rsidRPr="004D76A9" w:rsidRDefault="000D5ECD" w:rsidP="00967A4B">
      <w:pPr>
        <w:pStyle w:val="ListParagraph"/>
        <w:numPr>
          <w:ilvl w:val="0"/>
          <w:numId w:val="5"/>
        </w:numPr>
        <w:spacing w:after="100" w:afterAutospacing="1"/>
        <w:rPr>
          <w:rFonts w:ascii="Arial" w:eastAsia="Times New Roman" w:hAnsi="Arial" w:cs="Arial"/>
          <w:color w:val="202020" w:themeColor="text1" w:themeShade="80"/>
          <w:sz w:val="22"/>
          <w:szCs w:val="22"/>
        </w:rPr>
      </w:pPr>
      <w:r w:rsidRPr="004D76A9">
        <w:rPr>
          <w:rFonts w:ascii="Arial" w:eastAsia="Times New Roman" w:hAnsi="Arial" w:cs="Arial"/>
          <w:color w:val="202020" w:themeColor="text1" w:themeShade="80"/>
          <w:sz w:val="22"/>
          <w:szCs w:val="22"/>
        </w:rPr>
        <w:t>Ensuring all our tax planning is aligned to commercial and economic activity</w:t>
      </w:r>
    </w:p>
    <w:p w:rsidR="000D5ECD" w:rsidRPr="004D76A9" w:rsidRDefault="000D5ECD" w:rsidP="00967A4B">
      <w:pPr>
        <w:pStyle w:val="ListParagraph"/>
        <w:numPr>
          <w:ilvl w:val="0"/>
          <w:numId w:val="5"/>
        </w:numPr>
        <w:spacing w:after="100" w:afterAutospacing="1"/>
        <w:rPr>
          <w:rFonts w:ascii="Arial" w:eastAsia="Times New Roman" w:hAnsi="Arial" w:cs="Arial"/>
          <w:color w:val="202020" w:themeColor="text1" w:themeShade="80"/>
          <w:sz w:val="22"/>
          <w:szCs w:val="22"/>
        </w:rPr>
      </w:pPr>
      <w:r w:rsidRPr="004D76A9">
        <w:rPr>
          <w:rFonts w:ascii="Arial" w:eastAsia="Times New Roman" w:hAnsi="Arial" w:cs="Arial"/>
          <w:color w:val="202020" w:themeColor="text1" w:themeShade="80"/>
          <w:sz w:val="22"/>
          <w:szCs w:val="22"/>
        </w:rPr>
        <w:t>Maintaining  a strong tax governance framework focused on the early identification and management of tax risk</w:t>
      </w:r>
    </w:p>
    <w:p w:rsidR="000D5ECD" w:rsidRPr="004D76A9" w:rsidRDefault="001A225A" w:rsidP="00967A4B">
      <w:pPr>
        <w:pStyle w:val="ListParagraph"/>
        <w:numPr>
          <w:ilvl w:val="0"/>
          <w:numId w:val="5"/>
        </w:numPr>
        <w:spacing w:after="100" w:afterAutospacing="1"/>
        <w:rPr>
          <w:rFonts w:ascii="Arial" w:eastAsia="Times New Roman" w:hAnsi="Arial" w:cs="Arial"/>
          <w:color w:val="202020" w:themeColor="text1" w:themeShade="80"/>
          <w:sz w:val="22"/>
          <w:szCs w:val="22"/>
        </w:rPr>
      </w:pPr>
      <w:r w:rsidRPr="004D76A9">
        <w:rPr>
          <w:rFonts w:ascii="Arial" w:eastAsia="Times New Roman" w:hAnsi="Arial" w:cs="Arial"/>
          <w:color w:val="202020" w:themeColor="text1" w:themeShade="80"/>
          <w:sz w:val="22"/>
          <w:szCs w:val="22"/>
        </w:rPr>
        <w:t xml:space="preserve">Having </w:t>
      </w:r>
      <w:r w:rsidR="00714093" w:rsidRPr="004D76A9">
        <w:rPr>
          <w:rFonts w:ascii="Arial" w:eastAsia="Times New Roman" w:hAnsi="Arial" w:cs="Arial"/>
          <w:color w:val="202020" w:themeColor="text1" w:themeShade="80"/>
          <w:sz w:val="22"/>
          <w:szCs w:val="22"/>
        </w:rPr>
        <w:t xml:space="preserve">a low appetite for </w:t>
      </w:r>
      <w:r w:rsidRPr="004D76A9">
        <w:rPr>
          <w:rFonts w:ascii="Arial" w:eastAsia="Times New Roman" w:hAnsi="Arial" w:cs="Arial"/>
          <w:color w:val="202020" w:themeColor="text1" w:themeShade="80"/>
          <w:sz w:val="22"/>
          <w:szCs w:val="22"/>
        </w:rPr>
        <w:t xml:space="preserve">tax </w:t>
      </w:r>
      <w:r w:rsidR="00714093" w:rsidRPr="004D76A9">
        <w:rPr>
          <w:rFonts w:ascii="Arial" w:eastAsia="Times New Roman" w:hAnsi="Arial" w:cs="Arial"/>
          <w:color w:val="202020" w:themeColor="text1" w:themeShade="80"/>
          <w:sz w:val="22"/>
          <w:szCs w:val="22"/>
        </w:rPr>
        <w:t>risk and work</w:t>
      </w:r>
      <w:r w:rsidRPr="004D76A9">
        <w:rPr>
          <w:rFonts w:ascii="Arial" w:eastAsia="Times New Roman" w:hAnsi="Arial" w:cs="Arial"/>
          <w:color w:val="202020" w:themeColor="text1" w:themeShade="80"/>
          <w:sz w:val="22"/>
          <w:szCs w:val="22"/>
        </w:rPr>
        <w:t>ing</w:t>
      </w:r>
      <w:r w:rsidR="00714093" w:rsidRPr="004D76A9">
        <w:rPr>
          <w:rFonts w:ascii="Arial" w:eastAsia="Times New Roman" w:hAnsi="Arial" w:cs="Arial"/>
          <w:color w:val="202020" w:themeColor="text1" w:themeShade="80"/>
          <w:sz w:val="22"/>
          <w:szCs w:val="22"/>
        </w:rPr>
        <w:t xml:space="preserve"> </w:t>
      </w:r>
      <w:r w:rsidR="000D5ECD" w:rsidRPr="004D76A9">
        <w:rPr>
          <w:rFonts w:ascii="Arial" w:eastAsia="Times New Roman" w:hAnsi="Arial" w:cs="Arial"/>
          <w:color w:val="202020" w:themeColor="text1" w:themeShade="80"/>
          <w:sz w:val="22"/>
          <w:szCs w:val="22"/>
        </w:rPr>
        <w:t>with tax authorities in an open and collaborative manner</w:t>
      </w:r>
      <w:r w:rsidR="00714093" w:rsidRPr="004D76A9">
        <w:rPr>
          <w:rFonts w:ascii="Arial" w:eastAsia="Times New Roman" w:hAnsi="Arial" w:cs="Arial"/>
          <w:color w:val="202020" w:themeColor="text1" w:themeShade="80"/>
          <w:sz w:val="22"/>
          <w:szCs w:val="22"/>
        </w:rPr>
        <w:t xml:space="preserve"> to achieve certainty wherever possible</w:t>
      </w:r>
    </w:p>
    <w:p w:rsidR="009E224F" w:rsidRPr="004D76A9" w:rsidRDefault="00967A4B" w:rsidP="001A225A">
      <w:pPr>
        <w:spacing w:after="100" w:afterAutospacing="1"/>
        <w:rPr>
          <w:rFonts w:ascii="Arial" w:eastAsia="Times New Roman" w:hAnsi="Arial" w:cs="Arial"/>
          <w:color w:val="202020" w:themeColor="text1" w:themeShade="80"/>
          <w:sz w:val="22"/>
          <w:szCs w:val="22"/>
        </w:rPr>
      </w:pPr>
      <w:r w:rsidRPr="004D76A9">
        <w:rPr>
          <w:rFonts w:ascii="Arial" w:eastAsia="Times New Roman" w:hAnsi="Arial" w:cs="Arial"/>
          <w:b/>
          <w:color w:val="202020" w:themeColor="text1" w:themeShade="80"/>
          <w:sz w:val="22"/>
          <w:szCs w:val="22"/>
        </w:rPr>
        <w:br/>
      </w:r>
      <w:r w:rsidR="00726D2C" w:rsidRPr="004D76A9">
        <w:rPr>
          <w:rFonts w:ascii="Arial" w:eastAsia="Times New Roman" w:hAnsi="Arial" w:cs="Arial"/>
          <w:b/>
          <w:color w:val="202020" w:themeColor="text1" w:themeShade="80"/>
          <w:sz w:val="22"/>
          <w:szCs w:val="22"/>
        </w:rPr>
        <w:t>Risk Management and Governance principles</w:t>
      </w:r>
      <w:r w:rsidR="001A225A" w:rsidRPr="004D76A9">
        <w:rPr>
          <w:rFonts w:ascii="Arial" w:eastAsia="Times New Roman" w:hAnsi="Arial" w:cs="Arial"/>
          <w:color w:val="202020" w:themeColor="text1" w:themeShade="80"/>
          <w:sz w:val="22"/>
          <w:szCs w:val="22"/>
        </w:rPr>
        <w:br/>
      </w:r>
      <w:r w:rsidR="009E224F" w:rsidRPr="004D76A9">
        <w:rPr>
          <w:rFonts w:ascii="Arial" w:hAnsi="Arial" w:cs="Arial"/>
          <w:color w:val="202020" w:themeColor="text1" w:themeShade="80"/>
          <w:sz w:val="22"/>
          <w:szCs w:val="22"/>
        </w:rPr>
        <w:t xml:space="preserve">Overall accountability of </w:t>
      </w:r>
      <w:r w:rsidR="001307C5">
        <w:rPr>
          <w:rFonts w:ascii="Arial" w:hAnsi="Arial" w:cs="Arial"/>
          <w:color w:val="202020" w:themeColor="text1" w:themeShade="80"/>
          <w:sz w:val="22"/>
          <w:szCs w:val="22"/>
        </w:rPr>
        <w:t>Ebbon-</w:t>
      </w:r>
      <w:r w:rsidR="00E404AB">
        <w:rPr>
          <w:rFonts w:ascii="Arial" w:hAnsi="Arial" w:cs="Arial"/>
          <w:color w:val="202020" w:themeColor="text1" w:themeShade="80"/>
          <w:sz w:val="22"/>
          <w:szCs w:val="22"/>
        </w:rPr>
        <w:t>Dacs’</w:t>
      </w:r>
      <w:r w:rsidR="009E224F" w:rsidRPr="004D76A9">
        <w:rPr>
          <w:rFonts w:ascii="Arial" w:hAnsi="Arial" w:cs="Arial"/>
          <w:color w:val="202020" w:themeColor="text1" w:themeShade="80"/>
          <w:sz w:val="22"/>
          <w:szCs w:val="22"/>
        </w:rPr>
        <w:t xml:space="preserve"> tax affairs </w:t>
      </w:r>
      <w:r w:rsidR="001A225A" w:rsidRPr="004D76A9">
        <w:rPr>
          <w:rFonts w:ascii="Arial" w:hAnsi="Arial" w:cs="Arial"/>
          <w:color w:val="202020" w:themeColor="text1" w:themeShade="80"/>
          <w:sz w:val="22"/>
          <w:szCs w:val="22"/>
        </w:rPr>
        <w:t xml:space="preserve">sits </w:t>
      </w:r>
      <w:r w:rsidR="009E224F" w:rsidRPr="004D76A9">
        <w:rPr>
          <w:rFonts w:ascii="Arial" w:hAnsi="Arial" w:cs="Arial"/>
          <w:color w:val="202020" w:themeColor="text1" w:themeShade="80"/>
          <w:sz w:val="22"/>
          <w:szCs w:val="22"/>
        </w:rPr>
        <w:t xml:space="preserve">with the Board </w:t>
      </w:r>
      <w:r w:rsidR="001A225A" w:rsidRPr="004D76A9">
        <w:rPr>
          <w:rFonts w:ascii="Arial" w:hAnsi="Arial" w:cs="Arial"/>
          <w:color w:val="202020" w:themeColor="text1" w:themeShade="80"/>
          <w:sz w:val="22"/>
          <w:szCs w:val="22"/>
        </w:rPr>
        <w:t xml:space="preserve">and this </w:t>
      </w:r>
      <w:r w:rsidR="009E224F" w:rsidRPr="004D76A9">
        <w:rPr>
          <w:rFonts w:ascii="Arial" w:hAnsi="Arial" w:cs="Arial"/>
          <w:color w:val="202020" w:themeColor="text1" w:themeShade="80"/>
          <w:sz w:val="22"/>
          <w:szCs w:val="22"/>
        </w:rPr>
        <w:t xml:space="preserve">is based on effective governance and oversight, clear escalation mechanisms and a focus on risk management and transparency.  This includes procedures in how tax risk is managed and escalated to the Board on a quarterly basis.  </w:t>
      </w:r>
    </w:p>
    <w:p w:rsidR="0061432B" w:rsidRPr="004D76A9" w:rsidRDefault="009E224F" w:rsidP="0061432B">
      <w:pPr>
        <w:jc w:val="both"/>
        <w:rPr>
          <w:rFonts w:ascii="Arial" w:hAnsi="Arial" w:cs="Arial"/>
          <w:color w:val="202020" w:themeColor="text1" w:themeShade="80"/>
          <w:sz w:val="22"/>
          <w:szCs w:val="22"/>
        </w:rPr>
      </w:pPr>
      <w:r w:rsidRPr="004D76A9">
        <w:rPr>
          <w:rFonts w:ascii="Arial" w:hAnsi="Arial" w:cs="Arial"/>
          <w:color w:val="202020" w:themeColor="text1" w:themeShade="80"/>
          <w:sz w:val="22"/>
          <w:szCs w:val="22"/>
        </w:rPr>
        <w:t xml:space="preserve">Day to day management of </w:t>
      </w:r>
      <w:r w:rsidR="001307C5">
        <w:rPr>
          <w:rFonts w:ascii="Arial" w:hAnsi="Arial" w:cs="Arial"/>
          <w:color w:val="202020" w:themeColor="text1" w:themeShade="80"/>
          <w:sz w:val="22"/>
          <w:szCs w:val="22"/>
        </w:rPr>
        <w:t>Ebbon-</w:t>
      </w:r>
      <w:r w:rsidR="00E404AB">
        <w:rPr>
          <w:rFonts w:ascii="Arial" w:hAnsi="Arial" w:cs="Arial"/>
          <w:color w:val="202020" w:themeColor="text1" w:themeShade="80"/>
          <w:sz w:val="22"/>
          <w:szCs w:val="22"/>
        </w:rPr>
        <w:t>Dacs’</w:t>
      </w:r>
      <w:r w:rsidRPr="004D76A9">
        <w:rPr>
          <w:rFonts w:ascii="Arial" w:hAnsi="Arial" w:cs="Arial"/>
          <w:color w:val="202020" w:themeColor="text1" w:themeShade="80"/>
          <w:sz w:val="22"/>
          <w:szCs w:val="22"/>
        </w:rPr>
        <w:t xml:space="preserve"> tax affairs </w:t>
      </w:r>
      <w:r w:rsidR="001A225A" w:rsidRPr="004D76A9">
        <w:rPr>
          <w:rFonts w:ascii="Arial" w:hAnsi="Arial" w:cs="Arial"/>
          <w:color w:val="202020" w:themeColor="text1" w:themeShade="80"/>
          <w:sz w:val="22"/>
          <w:szCs w:val="22"/>
        </w:rPr>
        <w:t xml:space="preserve">is </w:t>
      </w:r>
      <w:r w:rsidR="0061432B" w:rsidRPr="004D76A9">
        <w:rPr>
          <w:rFonts w:ascii="Arial" w:hAnsi="Arial" w:cs="Arial"/>
          <w:color w:val="202020" w:themeColor="text1" w:themeShade="80"/>
          <w:sz w:val="22"/>
          <w:szCs w:val="22"/>
        </w:rPr>
        <w:t xml:space="preserve">within the remit of the Finance </w:t>
      </w:r>
      <w:r w:rsidR="001A225A" w:rsidRPr="004D76A9">
        <w:rPr>
          <w:rFonts w:ascii="Arial" w:hAnsi="Arial" w:cs="Arial"/>
          <w:color w:val="202020" w:themeColor="text1" w:themeShade="80"/>
          <w:sz w:val="22"/>
          <w:szCs w:val="22"/>
        </w:rPr>
        <w:t xml:space="preserve">Director </w:t>
      </w:r>
      <w:r w:rsidR="0061432B" w:rsidRPr="004D76A9">
        <w:rPr>
          <w:rFonts w:ascii="Arial" w:hAnsi="Arial" w:cs="Arial"/>
          <w:color w:val="202020" w:themeColor="text1" w:themeShade="80"/>
          <w:sz w:val="22"/>
          <w:szCs w:val="22"/>
        </w:rPr>
        <w:t xml:space="preserve">who reports directly to the Board.  In this regard, the Finance Director is responsible for ensuring that tax risk </w:t>
      </w:r>
      <w:r w:rsidR="00A32382" w:rsidRPr="004D76A9">
        <w:rPr>
          <w:rFonts w:ascii="Arial" w:hAnsi="Arial" w:cs="Arial"/>
          <w:color w:val="202020" w:themeColor="text1" w:themeShade="80"/>
          <w:sz w:val="22"/>
          <w:szCs w:val="22"/>
        </w:rPr>
        <w:t xml:space="preserve">issues are identified </w:t>
      </w:r>
      <w:r w:rsidR="0061432B" w:rsidRPr="004D76A9">
        <w:rPr>
          <w:rFonts w:ascii="Arial" w:hAnsi="Arial" w:cs="Arial"/>
          <w:color w:val="202020" w:themeColor="text1" w:themeShade="80"/>
          <w:sz w:val="22"/>
          <w:szCs w:val="22"/>
        </w:rPr>
        <w:t>across the business</w:t>
      </w:r>
      <w:r w:rsidR="00A32382" w:rsidRPr="004D76A9">
        <w:rPr>
          <w:rFonts w:ascii="Arial" w:hAnsi="Arial" w:cs="Arial"/>
          <w:color w:val="202020" w:themeColor="text1" w:themeShade="80"/>
          <w:sz w:val="22"/>
          <w:szCs w:val="22"/>
        </w:rPr>
        <w:t xml:space="preserve"> and how these are responded to</w:t>
      </w:r>
      <w:r w:rsidR="0061432B" w:rsidRPr="004D76A9">
        <w:rPr>
          <w:rFonts w:ascii="Arial" w:hAnsi="Arial" w:cs="Arial"/>
          <w:color w:val="202020" w:themeColor="text1" w:themeShade="80"/>
          <w:sz w:val="22"/>
          <w:szCs w:val="22"/>
        </w:rPr>
        <w:t>.  In the UK, this includes the identification, assessment and management of tax risks in compliance with the Senior Accounting Officer requirements.</w:t>
      </w:r>
    </w:p>
    <w:p w:rsidR="0061432B" w:rsidRPr="004D76A9" w:rsidRDefault="0061432B" w:rsidP="0061432B">
      <w:pPr>
        <w:jc w:val="both"/>
        <w:rPr>
          <w:rFonts w:ascii="Arial" w:hAnsi="Arial" w:cs="Arial"/>
          <w:color w:val="202020" w:themeColor="text1" w:themeShade="80"/>
          <w:sz w:val="22"/>
          <w:szCs w:val="22"/>
        </w:rPr>
      </w:pPr>
    </w:p>
    <w:p w:rsidR="00A32382" w:rsidRDefault="006A3EF9" w:rsidP="0061432B">
      <w:pPr>
        <w:jc w:val="both"/>
        <w:rPr>
          <w:rFonts w:ascii="Arial" w:hAnsi="Arial" w:cs="Arial"/>
          <w:color w:val="202020" w:themeColor="text1" w:themeShade="80"/>
          <w:sz w:val="22"/>
          <w:szCs w:val="22"/>
        </w:rPr>
      </w:pPr>
      <w:r w:rsidRPr="004D76A9">
        <w:rPr>
          <w:rFonts w:ascii="Arial" w:hAnsi="Arial" w:cs="Arial"/>
          <w:color w:val="202020" w:themeColor="text1" w:themeShade="80"/>
          <w:sz w:val="22"/>
          <w:szCs w:val="22"/>
        </w:rPr>
        <w:lastRenderedPageBreak/>
        <w:t xml:space="preserve">In meeting our tax compliance and reporting obligations, </w:t>
      </w:r>
      <w:r w:rsidR="00E404AB">
        <w:rPr>
          <w:rFonts w:ascii="Arial" w:hAnsi="Arial" w:cs="Arial"/>
          <w:color w:val="202020" w:themeColor="text1" w:themeShade="80"/>
          <w:sz w:val="22"/>
          <w:szCs w:val="22"/>
        </w:rPr>
        <w:t>Ebbon</w:t>
      </w:r>
      <w:r w:rsidR="001307C5">
        <w:rPr>
          <w:rFonts w:ascii="Arial" w:hAnsi="Arial" w:cs="Arial"/>
          <w:color w:val="202020" w:themeColor="text1" w:themeShade="80"/>
          <w:sz w:val="22"/>
          <w:szCs w:val="22"/>
        </w:rPr>
        <w:t>-</w:t>
      </w:r>
      <w:r w:rsidR="00E404AB">
        <w:rPr>
          <w:rFonts w:ascii="Arial" w:hAnsi="Arial" w:cs="Arial"/>
          <w:color w:val="202020" w:themeColor="text1" w:themeShade="80"/>
          <w:sz w:val="22"/>
          <w:szCs w:val="22"/>
        </w:rPr>
        <w:t>Dacs</w:t>
      </w:r>
      <w:r w:rsidRPr="004D76A9">
        <w:rPr>
          <w:rFonts w:ascii="Arial" w:hAnsi="Arial" w:cs="Arial"/>
          <w:color w:val="202020" w:themeColor="text1" w:themeShade="80"/>
          <w:sz w:val="22"/>
          <w:szCs w:val="22"/>
        </w:rPr>
        <w:t xml:space="preserve"> aims to apply diligent professional care and judgement in meeting these requirements.  </w:t>
      </w:r>
      <w:r w:rsidR="00967A4B" w:rsidRPr="004D76A9">
        <w:rPr>
          <w:rFonts w:ascii="Arial" w:hAnsi="Arial" w:cs="Arial"/>
          <w:color w:val="202020" w:themeColor="text1" w:themeShade="80"/>
          <w:sz w:val="22"/>
          <w:szCs w:val="22"/>
        </w:rPr>
        <w:t xml:space="preserve">Specifically, </w:t>
      </w:r>
      <w:r w:rsidR="001307C5">
        <w:rPr>
          <w:rFonts w:ascii="Arial" w:hAnsi="Arial" w:cs="Arial"/>
          <w:color w:val="202020" w:themeColor="text1" w:themeShade="80"/>
          <w:sz w:val="22"/>
          <w:szCs w:val="22"/>
        </w:rPr>
        <w:t>Ebbon-</w:t>
      </w:r>
      <w:r w:rsidR="00E404AB">
        <w:rPr>
          <w:rFonts w:ascii="Arial" w:hAnsi="Arial" w:cs="Arial"/>
          <w:color w:val="202020" w:themeColor="text1" w:themeShade="80"/>
          <w:sz w:val="22"/>
          <w:szCs w:val="22"/>
        </w:rPr>
        <w:t>Dacs</w:t>
      </w:r>
      <w:r w:rsidR="00967A4B" w:rsidRPr="004D76A9">
        <w:rPr>
          <w:rFonts w:ascii="Arial" w:hAnsi="Arial" w:cs="Arial"/>
          <w:color w:val="202020" w:themeColor="text1" w:themeShade="80"/>
          <w:sz w:val="22"/>
          <w:szCs w:val="22"/>
        </w:rPr>
        <w:t xml:space="preserve"> </w:t>
      </w:r>
      <w:r w:rsidR="0061432B" w:rsidRPr="004D76A9">
        <w:rPr>
          <w:rFonts w:ascii="Arial" w:hAnsi="Arial" w:cs="Arial"/>
          <w:color w:val="202020" w:themeColor="text1" w:themeShade="80"/>
          <w:sz w:val="22"/>
          <w:szCs w:val="22"/>
        </w:rPr>
        <w:t xml:space="preserve">has </w:t>
      </w:r>
      <w:r w:rsidR="00967A4B" w:rsidRPr="004D76A9">
        <w:rPr>
          <w:rFonts w:ascii="Arial" w:hAnsi="Arial" w:cs="Arial"/>
          <w:color w:val="202020" w:themeColor="text1" w:themeShade="80"/>
          <w:sz w:val="22"/>
          <w:szCs w:val="22"/>
        </w:rPr>
        <w:t xml:space="preserve">an internal control framework relating to its </w:t>
      </w:r>
      <w:r w:rsidR="0061432B" w:rsidRPr="004D76A9">
        <w:rPr>
          <w:rFonts w:ascii="Arial" w:hAnsi="Arial" w:cs="Arial"/>
          <w:color w:val="202020" w:themeColor="text1" w:themeShade="80"/>
          <w:sz w:val="22"/>
          <w:szCs w:val="22"/>
        </w:rPr>
        <w:t>tax compliance processes</w:t>
      </w:r>
      <w:r w:rsidR="00967A4B" w:rsidRPr="004D76A9">
        <w:rPr>
          <w:rFonts w:ascii="Arial" w:hAnsi="Arial" w:cs="Arial"/>
          <w:color w:val="202020" w:themeColor="text1" w:themeShade="80"/>
          <w:sz w:val="22"/>
          <w:szCs w:val="22"/>
        </w:rPr>
        <w:t xml:space="preserve">.  This includes the management of tax risk through systems and controls such as </w:t>
      </w:r>
      <w:r w:rsidR="0061432B" w:rsidRPr="004D76A9">
        <w:rPr>
          <w:rFonts w:ascii="Arial" w:hAnsi="Arial" w:cs="Arial"/>
          <w:color w:val="202020" w:themeColor="text1" w:themeShade="80"/>
          <w:sz w:val="22"/>
          <w:szCs w:val="22"/>
        </w:rPr>
        <w:t>segregation of duties, initial and second levels of review and reconciliation</w:t>
      </w:r>
      <w:r w:rsidR="00967A4B" w:rsidRPr="004D76A9">
        <w:rPr>
          <w:rFonts w:ascii="Arial" w:hAnsi="Arial" w:cs="Arial"/>
          <w:color w:val="202020" w:themeColor="text1" w:themeShade="80"/>
          <w:sz w:val="22"/>
          <w:szCs w:val="22"/>
        </w:rPr>
        <w:t>s</w:t>
      </w:r>
      <w:r w:rsidR="0061432B" w:rsidRPr="004D76A9">
        <w:rPr>
          <w:rFonts w:ascii="Arial" w:hAnsi="Arial" w:cs="Arial"/>
          <w:color w:val="202020" w:themeColor="text1" w:themeShade="80"/>
          <w:sz w:val="22"/>
          <w:szCs w:val="22"/>
        </w:rPr>
        <w:t xml:space="preserve"> </w:t>
      </w:r>
      <w:r w:rsidR="00967A4B" w:rsidRPr="004D76A9">
        <w:rPr>
          <w:rFonts w:ascii="Arial" w:hAnsi="Arial" w:cs="Arial"/>
          <w:color w:val="202020" w:themeColor="text1" w:themeShade="80"/>
          <w:sz w:val="22"/>
          <w:szCs w:val="22"/>
        </w:rPr>
        <w:t xml:space="preserve">back to </w:t>
      </w:r>
      <w:r w:rsidR="0061432B" w:rsidRPr="004D76A9">
        <w:rPr>
          <w:rFonts w:ascii="Arial" w:hAnsi="Arial" w:cs="Arial"/>
          <w:color w:val="202020" w:themeColor="text1" w:themeShade="80"/>
          <w:sz w:val="22"/>
          <w:szCs w:val="22"/>
        </w:rPr>
        <w:t>underlying systems</w:t>
      </w:r>
      <w:r w:rsidR="001307C5">
        <w:rPr>
          <w:rFonts w:ascii="Arial" w:hAnsi="Arial" w:cs="Arial"/>
          <w:color w:val="202020" w:themeColor="text1" w:themeShade="80"/>
          <w:sz w:val="22"/>
          <w:szCs w:val="22"/>
        </w:rPr>
        <w:t xml:space="preserve">. These are reviewed additionally </w:t>
      </w:r>
      <w:r w:rsidR="004D76A9">
        <w:rPr>
          <w:rFonts w:ascii="Arial" w:hAnsi="Arial" w:cs="Arial"/>
          <w:color w:val="202020" w:themeColor="text1" w:themeShade="80"/>
          <w:sz w:val="22"/>
          <w:szCs w:val="22"/>
        </w:rPr>
        <w:t>as part of our SAO procedures.</w:t>
      </w:r>
    </w:p>
    <w:p w:rsidR="001307C5" w:rsidRDefault="001307C5" w:rsidP="0061432B">
      <w:pPr>
        <w:jc w:val="both"/>
        <w:rPr>
          <w:rFonts w:ascii="Arial" w:hAnsi="Arial" w:cs="Arial"/>
          <w:color w:val="202020" w:themeColor="text1" w:themeShade="80"/>
          <w:sz w:val="22"/>
          <w:szCs w:val="22"/>
        </w:rPr>
      </w:pPr>
    </w:p>
    <w:p w:rsidR="001307C5" w:rsidRPr="004D76A9" w:rsidRDefault="001307C5" w:rsidP="001307C5">
      <w:pPr>
        <w:jc w:val="both"/>
        <w:rPr>
          <w:rFonts w:ascii="Arial" w:hAnsi="Arial" w:cs="Arial"/>
          <w:color w:val="202020" w:themeColor="text1" w:themeShade="80"/>
          <w:sz w:val="22"/>
          <w:szCs w:val="22"/>
        </w:rPr>
      </w:pPr>
      <w:r>
        <w:rPr>
          <w:rFonts w:ascii="Arial" w:hAnsi="Arial" w:cs="Arial"/>
          <w:color w:val="202020" w:themeColor="text1" w:themeShade="80"/>
          <w:sz w:val="22"/>
          <w:szCs w:val="22"/>
        </w:rPr>
        <w:t>Ebbon-Dacs does not tolerate tax evasion or the facilitation of tax evasion.  Following the introduction of the new Corporate Criminal Offence of Failure to Prevent the Facilitation of Tax Evasion legislation, which came into force on 30 September 2017 as part of the Criminal Offences Act 2017, Ebbon-Dacs seeks to apply appropriate procedures and controls to prevent any person acting on its behalf from facilitating tax evasion.</w:t>
      </w:r>
    </w:p>
    <w:p w:rsidR="001307C5" w:rsidRPr="004D76A9" w:rsidRDefault="001307C5" w:rsidP="0061432B">
      <w:pPr>
        <w:jc w:val="both"/>
        <w:rPr>
          <w:rFonts w:ascii="Arial" w:hAnsi="Arial" w:cs="Arial"/>
          <w:color w:val="202020" w:themeColor="text1" w:themeShade="80"/>
          <w:sz w:val="22"/>
          <w:szCs w:val="22"/>
        </w:rPr>
      </w:pPr>
    </w:p>
    <w:p w:rsidR="0061432B" w:rsidRPr="004D76A9" w:rsidRDefault="0061432B" w:rsidP="00225465">
      <w:pPr>
        <w:jc w:val="both"/>
        <w:rPr>
          <w:rFonts w:ascii="Arial" w:hAnsi="Arial" w:cs="Arial"/>
          <w:b/>
          <w:color w:val="202020" w:themeColor="text1" w:themeShade="80"/>
          <w:sz w:val="22"/>
          <w:szCs w:val="22"/>
        </w:rPr>
      </w:pPr>
    </w:p>
    <w:p w:rsidR="009E74E5" w:rsidRPr="004D76A9" w:rsidRDefault="009E74E5" w:rsidP="006A1254">
      <w:pPr>
        <w:jc w:val="both"/>
        <w:rPr>
          <w:rFonts w:ascii="Arial" w:hAnsi="Arial" w:cs="Arial"/>
          <w:b/>
          <w:color w:val="202020" w:themeColor="text1" w:themeShade="80"/>
          <w:sz w:val="22"/>
          <w:szCs w:val="22"/>
        </w:rPr>
      </w:pPr>
      <w:r w:rsidRPr="004D76A9">
        <w:rPr>
          <w:rFonts w:ascii="Arial" w:hAnsi="Arial" w:cs="Arial"/>
          <w:b/>
          <w:color w:val="202020" w:themeColor="text1" w:themeShade="80"/>
          <w:sz w:val="22"/>
          <w:szCs w:val="22"/>
        </w:rPr>
        <w:t xml:space="preserve">Tax </w:t>
      </w:r>
      <w:r w:rsidR="00AC2CF2" w:rsidRPr="004D76A9">
        <w:rPr>
          <w:rFonts w:ascii="Arial" w:hAnsi="Arial" w:cs="Arial"/>
          <w:b/>
          <w:color w:val="202020" w:themeColor="text1" w:themeShade="80"/>
          <w:sz w:val="22"/>
          <w:szCs w:val="22"/>
        </w:rPr>
        <w:t>Planning</w:t>
      </w:r>
      <w:r w:rsidR="00E824BF" w:rsidRPr="004D76A9">
        <w:rPr>
          <w:rFonts w:ascii="Arial" w:hAnsi="Arial" w:cs="Arial"/>
          <w:b/>
          <w:color w:val="202020" w:themeColor="text1" w:themeShade="80"/>
          <w:sz w:val="22"/>
          <w:szCs w:val="22"/>
        </w:rPr>
        <w:t xml:space="preserve"> principles</w:t>
      </w:r>
    </w:p>
    <w:p w:rsidR="00442320" w:rsidRPr="004D76A9" w:rsidRDefault="00E404AB" w:rsidP="006A1254">
      <w:pPr>
        <w:jc w:val="both"/>
        <w:rPr>
          <w:rFonts w:ascii="Arial" w:hAnsi="Arial" w:cs="Arial"/>
          <w:color w:val="202020" w:themeColor="text1" w:themeShade="80"/>
          <w:sz w:val="22"/>
          <w:szCs w:val="22"/>
        </w:rPr>
      </w:pPr>
      <w:r>
        <w:rPr>
          <w:rFonts w:ascii="Arial" w:hAnsi="Arial" w:cs="Arial"/>
          <w:color w:val="202020" w:themeColor="text1" w:themeShade="80"/>
          <w:sz w:val="22"/>
          <w:szCs w:val="22"/>
        </w:rPr>
        <w:t>Ebbon</w:t>
      </w:r>
      <w:r w:rsidR="001307C5">
        <w:rPr>
          <w:rFonts w:ascii="Arial" w:hAnsi="Arial" w:cs="Arial"/>
          <w:color w:val="202020" w:themeColor="text1" w:themeShade="80"/>
          <w:sz w:val="22"/>
          <w:szCs w:val="22"/>
        </w:rPr>
        <w:t>-</w:t>
      </w:r>
      <w:r>
        <w:rPr>
          <w:rFonts w:ascii="Arial" w:hAnsi="Arial" w:cs="Arial"/>
          <w:color w:val="202020" w:themeColor="text1" w:themeShade="80"/>
          <w:sz w:val="22"/>
          <w:szCs w:val="22"/>
        </w:rPr>
        <w:t>Dacs</w:t>
      </w:r>
      <w:r w:rsidR="00E824BF" w:rsidRPr="004D76A9">
        <w:rPr>
          <w:rFonts w:ascii="Arial" w:hAnsi="Arial" w:cs="Arial"/>
          <w:color w:val="202020" w:themeColor="text1" w:themeShade="80"/>
          <w:sz w:val="22"/>
          <w:szCs w:val="22"/>
        </w:rPr>
        <w:t xml:space="preserve"> has a low risk appetite.  </w:t>
      </w:r>
      <w:r w:rsidR="00442320" w:rsidRPr="004D76A9">
        <w:rPr>
          <w:rFonts w:ascii="Arial" w:eastAsia="Times New Roman" w:hAnsi="Arial" w:cs="Arial"/>
          <w:color w:val="202020" w:themeColor="text1" w:themeShade="80"/>
          <w:sz w:val="22"/>
          <w:szCs w:val="22"/>
        </w:rPr>
        <w:t>In relation to tax planning, t</w:t>
      </w:r>
      <w:r w:rsidR="006A1254" w:rsidRPr="004D76A9">
        <w:rPr>
          <w:rFonts w:ascii="Arial" w:eastAsia="Times New Roman" w:hAnsi="Arial" w:cs="Arial"/>
          <w:color w:val="202020" w:themeColor="text1" w:themeShade="80"/>
          <w:sz w:val="22"/>
          <w:szCs w:val="22"/>
        </w:rPr>
        <w:t xml:space="preserve">his means we </w:t>
      </w:r>
      <w:r w:rsidR="00442320" w:rsidRPr="004D76A9">
        <w:rPr>
          <w:rFonts w:ascii="Arial" w:eastAsia="Times New Roman" w:hAnsi="Arial" w:cs="Arial"/>
          <w:color w:val="202020" w:themeColor="text1" w:themeShade="80"/>
          <w:sz w:val="22"/>
          <w:szCs w:val="22"/>
        </w:rPr>
        <w:t xml:space="preserve">seek to only </w:t>
      </w:r>
      <w:r w:rsidR="009E74E5" w:rsidRPr="004D76A9">
        <w:rPr>
          <w:rFonts w:ascii="Arial" w:hAnsi="Arial" w:cs="Arial"/>
          <w:color w:val="202020" w:themeColor="text1" w:themeShade="80"/>
          <w:sz w:val="22"/>
          <w:szCs w:val="22"/>
        </w:rPr>
        <w:t xml:space="preserve">engage in tax planning </w:t>
      </w:r>
      <w:r w:rsidR="00E824BF" w:rsidRPr="004D76A9">
        <w:rPr>
          <w:rFonts w:ascii="Arial" w:hAnsi="Arial" w:cs="Arial"/>
          <w:color w:val="202020" w:themeColor="text1" w:themeShade="80"/>
          <w:sz w:val="22"/>
          <w:szCs w:val="22"/>
        </w:rPr>
        <w:t xml:space="preserve">that reflects our </w:t>
      </w:r>
      <w:r w:rsidR="009E74E5" w:rsidRPr="004D76A9">
        <w:rPr>
          <w:rFonts w:ascii="Arial" w:hAnsi="Arial" w:cs="Arial"/>
          <w:color w:val="202020" w:themeColor="text1" w:themeShade="80"/>
          <w:sz w:val="22"/>
          <w:szCs w:val="22"/>
        </w:rPr>
        <w:t xml:space="preserve">business and </w:t>
      </w:r>
      <w:r w:rsidR="000751E1" w:rsidRPr="004D76A9">
        <w:rPr>
          <w:rFonts w:ascii="Arial" w:hAnsi="Arial" w:cs="Arial"/>
          <w:color w:val="202020" w:themeColor="text1" w:themeShade="80"/>
          <w:sz w:val="22"/>
          <w:szCs w:val="22"/>
        </w:rPr>
        <w:t xml:space="preserve">our </w:t>
      </w:r>
      <w:r w:rsidR="009E74E5" w:rsidRPr="004D76A9">
        <w:rPr>
          <w:rFonts w:ascii="Arial" w:hAnsi="Arial" w:cs="Arial"/>
          <w:color w:val="202020" w:themeColor="text1" w:themeShade="80"/>
          <w:sz w:val="22"/>
          <w:szCs w:val="22"/>
        </w:rPr>
        <w:t>commercial strategy</w:t>
      </w:r>
      <w:r w:rsidR="000751E1" w:rsidRPr="004D76A9">
        <w:rPr>
          <w:rFonts w:ascii="Arial" w:hAnsi="Arial" w:cs="Arial"/>
          <w:color w:val="202020" w:themeColor="text1" w:themeShade="80"/>
          <w:sz w:val="22"/>
          <w:szCs w:val="22"/>
        </w:rPr>
        <w:t>,</w:t>
      </w:r>
      <w:r w:rsidR="00AC2CF2" w:rsidRPr="004D76A9">
        <w:rPr>
          <w:rFonts w:ascii="Arial" w:hAnsi="Arial" w:cs="Arial"/>
          <w:color w:val="202020" w:themeColor="text1" w:themeShade="80"/>
          <w:sz w:val="22"/>
          <w:szCs w:val="22"/>
        </w:rPr>
        <w:t xml:space="preserve"> and </w:t>
      </w:r>
      <w:r w:rsidR="000751E1" w:rsidRPr="004D76A9">
        <w:rPr>
          <w:rFonts w:ascii="Arial" w:hAnsi="Arial" w:cs="Arial"/>
          <w:color w:val="202020" w:themeColor="text1" w:themeShade="80"/>
          <w:sz w:val="22"/>
          <w:szCs w:val="22"/>
        </w:rPr>
        <w:t xml:space="preserve">which </w:t>
      </w:r>
      <w:r w:rsidR="00AC2CF2" w:rsidRPr="004D76A9">
        <w:rPr>
          <w:rFonts w:ascii="Arial" w:hAnsi="Arial" w:cs="Arial"/>
          <w:color w:val="202020" w:themeColor="text1" w:themeShade="80"/>
          <w:sz w:val="22"/>
          <w:szCs w:val="22"/>
        </w:rPr>
        <w:t>does not lead to an abusive result.</w:t>
      </w:r>
      <w:r w:rsidR="009E74E5" w:rsidRPr="004D76A9">
        <w:rPr>
          <w:rFonts w:ascii="Arial" w:hAnsi="Arial" w:cs="Arial"/>
          <w:color w:val="202020" w:themeColor="text1" w:themeShade="80"/>
          <w:sz w:val="22"/>
          <w:szCs w:val="22"/>
        </w:rPr>
        <w:t xml:space="preserve">  </w:t>
      </w:r>
    </w:p>
    <w:p w:rsidR="000751E1" w:rsidRPr="004D76A9" w:rsidRDefault="002415CA" w:rsidP="000751E1">
      <w:pPr>
        <w:jc w:val="both"/>
        <w:rPr>
          <w:rFonts w:ascii="Arial" w:hAnsi="Arial" w:cs="Arial"/>
          <w:color w:val="202020" w:themeColor="text1" w:themeShade="80"/>
          <w:sz w:val="22"/>
          <w:szCs w:val="22"/>
        </w:rPr>
      </w:pPr>
      <w:r w:rsidRPr="004D76A9">
        <w:rPr>
          <w:rFonts w:ascii="Arial" w:hAnsi="Arial" w:cs="Arial"/>
          <w:color w:val="202020" w:themeColor="text1" w:themeShade="80"/>
          <w:sz w:val="22"/>
          <w:szCs w:val="22"/>
        </w:rPr>
        <w:br/>
        <w:t>We appreciat</w:t>
      </w:r>
      <w:r w:rsidR="000751E1" w:rsidRPr="004D76A9">
        <w:rPr>
          <w:rFonts w:ascii="Arial" w:hAnsi="Arial" w:cs="Arial"/>
          <w:color w:val="202020" w:themeColor="text1" w:themeShade="80"/>
          <w:sz w:val="22"/>
          <w:szCs w:val="22"/>
        </w:rPr>
        <w:t xml:space="preserve">e that tax law and regulation can be open to interpretation and where any uncertainty exists, we seek advice from external advisors as appropriate.  We will also seek advice when responding to tax incentives and exemptions to ensure we apply these legitimately and that they align to the intentions of government as well as our own commercial activities.  </w:t>
      </w:r>
    </w:p>
    <w:p w:rsidR="006560EB" w:rsidRPr="004D76A9" w:rsidRDefault="006560EB" w:rsidP="00225465">
      <w:pPr>
        <w:jc w:val="both"/>
        <w:rPr>
          <w:rFonts w:ascii="Arial" w:hAnsi="Arial" w:cs="Arial"/>
          <w:color w:val="202020" w:themeColor="text1" w:themeShade="80"/>
          <w:sz w:val="22"/>
          <w:szCs w:val="22"/>
        </w:rPr>
      </w:pPr>
    </w:p>
    <w:p w:rsidR="009E74E5" w:rsidRPr="004D76A9" w:rsidRDefault="000751E1" w:rsidP="00225465">
      <w:pPr>
        <w:jc w:val="both"/>
        <w:rPr>
          <w:rFonts w:ascii="Arial" w:hAnsi="Arial" w:cs="Arial"/>
          <w:b/>
          <w:color w:val="202020" w:themeColor="text1" w:themeShade="80"/>
          <w:sz w:val="22"/>
          <w:szCs w:val="22"/>
        </w:rPr>
      </w:pPr>
      <w:r w:rsidRPr="004D76A9">
        <w:rPr>
          <w:rFonts w:ascii="Arial" w:hAnsi="Arial" w:cs="Arial"/>
          <w:b/>
          <w:color w:val="202020" w:themeColor="text1" w:themeShade="80"/>
          <w:sz w:val="22"/>
          <w:szCs w:val="22"/>
        </w:rPr>
        <w:t>Our principles in regards to our relationships with tax authorities</w:t>
      </w:r>
    </w:p>
    <w:p w:rsidR="000751E1" w:rsidRPr="004D76A9" w:rsidRDefault="000751E1" w:rsidP="000751E1">
      <w:pPr>
        <w:jc w:val="both"/>
        <w:rPr>
          <w:rFonts w:ascii="Arial" w:hAnsi="Arial" w:cs="Arial"/>
          <w:color w:val="202020" w:themeColor="text1" w:themeShade="80"/>
          <w:sz w:val="22"/>
          <w:szCs w:val="22"/>
        </w:rPr>
      </w:pPr>
      <w:r w:rsidRPr="004D76A9">
        <w:rPr>
          <w:rFonts w:ascii="Arial" w:hAnsi="Arial" w:cs="Arial"/>
          <w:color w:val="202020" w:themeColor="text1" w:themeShade="80"/>
          <w:sz w:val="22"/>
          <w:szCs w:val="22"/>
        </w:rPr>
        <w:t xml:space="preserve">We seek to build and maintain strong collaborative and open relationships with </w:t>
      </w:r>
      <w:r w:rsidR="004B3D0A" w:rsidRPr="004D76A9">
        <w:rPr>
          <w:rFonts w:ascii="Arial" w:hAnsi="Arial" w:cs="Arial"/>
          <w:color w:val="202020" w:themeColor="text1" w:themeShade="80"/>
          <w:sz w:val="22"/>
          <w:szCs w:val="22"/>
        </w:rPr>
        <w:t>tax authorities</w:t>
      </w:r>
      <w:r w:rsidR="002415CA" w:rsidRPr="004D76A9">
        <w:rPr>
          <w:rFonts w:ascii="Arial" w:hAnsi="Arial" w:cs="Arial"/>
          <w:color w:val="202020" w:themeColor="text1" w:themeShade="80"/>
          <w:sz w:val="22"/>
          <w:szCs w:val="22"/>
        </w:rPr>
        <w:t xml:space="preserve">.  </w:t>
      </w:r>
      <w:r w:rsidRPr="004D76A9">
        <w:rPr>
          <w:rFonts w:ascii="Arial" w:hAnsi="Arial" w:cs="Arial"/>
          <w:color w:val="202020" w:themeColor="text1" w:themeShade="80"/>
          <w:sz w:val="22"/>
          <w:szCs w:val="22"/>
        </w:rPr>
        <w:t xml:space="preserve">This means we </w:t>
      </w:r>
      <w:r w:rsidR="002415CA" w:rsidRPr="004D76A9">
        <w:rPr>
          <w:rFonts w:ascii="Arial" w:hAnsi="Arial" w:cs="Arial"/>
          <w:color w:val="202020" w:themeColor="text1" w:themeShade="80"/>
          <w:sz w:val="22"/>
          <w:szCs w:val="22"/>
        </w:rPr>
        <w:t xml:space="preserve">aim </w:t>
      </w:r>
      <w:r w:rsidRPr="004D76A9">
        <w:rPr>
          <w:rFonts w:ascii="Arial" w:hAnsi="Arial" w:cs="Arial"/>
          <w:color w:val="202020" w:themeColor="text1" w:themeShade="80"/>
          <w:sz w:val="22"/>
          <w:szCs w:val="22"/>
        </w:rPr>
        <w:t xml:space="preserve">to update HMRC on a regular basis about developments in our business, including when there are any significant business events.  </w:t>
      </w:r>
      <w:r w:rsidR="002415CA" w:rsidRPr="004D76A9">
        <w:rPr>
          <w:rFonts w:ascii="Arial" w:hAnsi="Arial" w:cs="Arial"/>
          <w:color w:val="202020" w:themeColor="text1" w:themeShade="80"/>
          <w:sz w:val="22"/>
          <w:szCs w:val="22"/>
        </w:rPr>
        <w:t xml:space="preserve"> </w:t>
      </w:r>
      <w:r w:rsidRPr="004D76A9">
        <w:rPr>
          <w:rFonts w:ascii="Arial" w:hAnsi="Arial" w:cs="Arial"/>
          <w:color w:val="202020" w:themeColor="text1" w:themeShade="80"/>
          <w:sz w:val="22"/>
          <w:szCs w:val="22"/>
        </w:rPr>
        <w:t xml:space="preserve">We </w:t>
      </w:r>
      <w:r w:rsidR="002415CA" w:rsidRPr="004D76A9">
        <w:rPr>
          <w:rFonts w:ascii="Arial" w:hAnsi="Arial" w:cs="Arial"/>
          <w:color w:val="202020" w:themeColor="text1" w:themeShade="80"/>
          <w:sz w:val="22"/>
          <w:szCs w:val="22"/>
        </w:rPr>
        <w:t xml:space="preserve">also see </w:t>
      </w:r>
      <w:r w:rsidRPr="004D76A9">
        <w:rPr>
          <w:rFonts w:ascii="Arial" w:hAnsi="Arial" w:cs="Arial"/>
          <w:color w:val="202020" w:themeColor="text1" w:themeShade="80"/>
          <w:sz w:val="22"/>
          <w:szCs w:val="22"/>
        </w:rPr>
        <w:t xml:space="preserve">benefit in reaching out to HMRC in relation to areas of particular tax complexity or where there may be interpretations of tax law.  </w:t>
      </w:r>
    </w:p>
    <w:p w:rsidR="00182715" w:rsidRPr="004D76A9" w:rsidRDefault="002415CA" w:rsidP="004B3D0A">
      <w:pPr>
        <w:jc w:val="both"/>
        <w:rPr>
          <w:rFonts w:ascii="Arial" w:hAnsi="Arial" w:cs="Arial"/>
          <w:color w:val="202020" w:themeColor="text1" w:themeShade="80"/>
          <w:sz w:val="22"/>
          <w:szCs w:val="22"/>
        </w:rPr>
      </w:pPr>
      <w:r w:rsidRPr="004D76A9">
        <w:rPr>
          <w:rFonts w:ascii="Arial" w:hAnsi="Arial" w:cs="Arial"/>
          <w:color w:val="202020" w:themeColor="text1" w:themeShade="80"/>
          <w:sz w:val="22"/>
          <w:szCs w:val="22"/>
        </w:rPr>
        <w:t>Specifically, i</w:t>
      </w:r>
      <w:r w:rsidR="00007778" w:rsidRPr="004D76A9">
        <w:rPr>
          <w:rFonts w:ascii="Arial" w:hAnsi="Arial" w:cs="Arial"/>
          <w:color w:val="202020" w:themeColor="text1" w:themeShade="80"/>
          <w:sz w:val="22"/>
          <w:szCs w:val="22"/>
        </w:rPr>
        <w:t>n meet</w:t>
      </w:r>
      <w:r w:rsidR="00FB5594" w:rsidRPr="004D76A9">
        <w:rPr>
          <w:rFonts w:ascii="Arial" w:hAnsi="Arial" w:cs="Arial"/>
          <w:color w:val="202020" w:themeColor="text1" w:themeShade="80"/>
          <w:sz w:val="22"/>
          <w:szCs w:val="22"/>
        </w:rPr>
        <w:t>ing</w:t>
      </w:r>
      <w:r w:rsidR="00007778" w:rsidRPr="004D76A9">
        <w:rPr>
          <w:rFonts w:ascii="Arial" w:hAnsi="Arial" w:cs="Arial"/>
          <w:color w:val="202020" w:themeColor="text1" w:themeShade="80"/>
          <w:sz w:val="22"/>
          <w:szCs w:val="22"/>
        </w:rPr>
        <w:t xml:space="preserve"> </w:t>
      </w:r>
      <w:r w:rsidRPr="004D76A9">
        <w:rPr>
          <w:rFonts w:ascii="Arial" w:hAnsi="Arial" w:cs="Arial"/>
          <w:color w:val="202020" w:themeColor="text1" w:themeShade="80"/>
          <w:sz w:val="22"/>
          <w:szCs w:val="22"/>
        </w:rPr>
        <w:t xml:space="preserve">these </w:t>
      </w:r>
      <w:r w:rsidR="00007778" w:rsidRPr="004D76A9">
        <w:rPr>
          <w:rFonts w:ascii="Arial" w:hAnsi="Arial" w:cs="Arial"/>
          <w:color w:val="202020" w:themeColor="text1" w:themeShade="80"/>
          <w:sz w:val="22"/>
          <w:szCs w:val="22"/>
        </w:rPr>
        <w:t>objective</w:t>
      </w:r>
      <w:r w:rsidRPr="004D76A9">
        <w:rPr>
          <w:rFonts w:ascii="Arial" w:hAnsi="Arial" w:cs="Arial"/>
          <w:color w:val="202020" w:themeColor="text1" w:themeShade="80"/>
          <w:sz w:val="22"/>
          <w:szCs w:val="22"/>
        </w:rPr>
        <w:t>s</w:t>
      </w:r>
      <w:r w:rsidR="00007778" w:rsidRPr="004D76A9">
        <w:rPr>
          <w:rFonts w:ascii="Arial" w:hAnsi="Arial" w:cs="Arial"/>
          <w:color w:val="202020" w:themeColor="text1" w:themeShade="80"/>
          <w:sz w:val="22"/>
          <w:szCs w:val="22"/>
        </w:rPr>
        <w:t xml:space="preserve"> in how we work with HMRC, we seek to maintain regular contact with our C</w:t>
      </w:r>
      <w:r w:rsidR="00AE1C89">
        <w:rPr>
          <w:rFonts w:ascii="Arial" w:hAnsi="Arial" w:cs="Arial"/>
          <w:color w:val="202020" w:themeColor="text1" w:themeShade="80"/>
          <w:sz w:val="22"/>
          <w:szCs w:val="22"/>
        </w:rPr>
        <w:t>C</w:t>
      </w:r>
      <w:r w:rsidR="00007778" w:rsidRPr="004D76A9">
        <w:rPr>
          <w:rFonts w:ascii="Arial" w:hAnsi="Arial" w:cs="Arial"/>
          <w:color w:val="202020" w:themeColor="text1" w:themeShade="80"/>
          <w:sz w:val="22"/>
          <w:szCs w:val="22"/>
        </w:rPr>
        <w:t>M</w:t>
      </w:r>
      <w:r w:rsidRPr="004D76A9">
        <w:rPr>
          <w:rFonts w:ascii="Arial" w:hAnsi="Arial" w:cs="Arial"/>
          <w:color w:val="202020" w:themeColor="text1" w:themeShade="80"/>
          <w:sz w:val="22"/>
          <w:szCs w:val="22"/>
        </w:rPr>
        <w:t>.</w:t>
      </w:r>
    </w:p>
    <w:p w:rsidR="002415CA" w:rsidRPr="004D76A9" w:rsidRDefault="002415CA" w:rsidP="004B3D0A">
      <w:pPr>
        <w:jc w:val="both"/>
        <w:rPr>
          <w:rFonts w:ascii="Arial" w:hAnsi="Arial" w:cs="Arial"/>
          <w:color w:val="202020" w:themeColor="text1" w:themeShade="80"/>
          <w:sz w:val="22"/>
          <w:szCs w:val="22"/>
        </w:rPr>
      </w:pPr>
    </w:p>
    <w:p w:rsidR="009E74E5" w:rsidRPr="004D76A9" w:rsidRDefault="002E29D9" w:rsidP="00225465">
      <w:pPr>
        <w:jc w:val="both"/>
        <w:rPr>
          <w:rFonts w:ascii="Arial" w:hAnsi="Arial" w:cs="Arial"/>
          <w:color w:val="202020" w:themeColor="text1" w:themeShade="80"/>
          <w:sz w:val="22"/>
          <w:szCs w:val="22"/>
        </w:rPr>
      </w:pPr>
      <w:r>
        <w:rPr>
          <w:rFonts w:ascii="Arial" w:hAnsi="Arial" w:cs="Arial"/>
          <w:color w:val="202020" w:themeColor="text1" w:themeShade="80"/>
          <w:sz w:val="22"/>
          <w:szCs w:val="22"/>
        </w:rPr>
        <w:t xml:space="preserve">Approved by the Board on </w:t>
      </w:r>
      <w:r w:rsidR="007C6EC1">
        <w:rPr>
          <w:rFonts w:ascii="Arial" w:hAnsi="Arial" w:cs="Arial"/>
          <w:color w:val="202020" w:themeColor="text1" w:themeShade="80"/>
          <w:sz w:val="22"/>
          <w:szCs w:val="22"/>
        </w:rPr>
        <w:t>2</w:t>
      </w:r>
      <w:r w:rsidR="00A8687C">
        <w:rPr>
          <w:rFonts w:ascii="Arial" w:hAnsi="Arial" w:cs="Arial"/>
          <w:color w:val="202020" w:themeColor="text1" w:themeShade="80"/>
          <w:sz w:val="22"/>
          <w:szCs w:val="22"/>
        </w:rPr>
        <w:t>4</w:t>
      </w:r>
      <w:r>
        <w:rPr>
          <w:rFonts w:ascii="Arial" w:hAnsi="Arial" w:cs="Arial"/>
          <w:color w:val="202020" w:themeColor="text1" w:themeShade="80"/>
          <w:sz w:val="22"/>
          <w:szCs w:val="22"/>
        </w:rPr>
        <w:t xml:space="preserve"> November 20</w:t>
      </w:r>
      <w:r w:rsidR="00A8687C">
        <w:rPr>
          <w:rFonts w:ascii="Arial" w:hAnsi="Arial" w:cs="Arial"/>
          <w:color w:val="202020" w:themeColor="text1" w:themeShade="80"/>
          <w:sz w:val="22"/>
          <w:szCs w:val="22"/>
        </w:rPr>
        <w:t>21</w:t>
      </w:r>
    </w:p>
    <w:p w:rsidR="00303DF9" w:rsidRPr="004D76A9" w:rsidRDefault="00303DF9" w:rsidP="00225465">
      <w:pPr>
        <w:jc w:val="both"/>
        <w:rPr>
          <w:rFonts w:ascii="Arial" w:hAnsi="Arial" w:cs="Arial"/>
          <w:color w:val="202020" w:themeColor="text1" w:themeShade="80"/>
          <w:sz w:val="22"/>
          <w:szCs w:val="22"/>
        </w:rPr>
      </w:pPr>
    </w:p>
    <w:sectPr w:rsidR="00303DF9" w:rsidRPr="004D76A9">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3A6" w:rsidRDefault="00B873A6" w:rsidP="00907718">
      <w:r>
        <w:separator/>
      </w:r>
    </w:p>
  </w:endnote>
  <w:endnote w:type="continuationSeparator" w:id="0">
    <w:p w:rsidR="00B873A6" w:rsidRDefault="00B873A6" w:rsidP="0090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3A6" w:rsidRDefault="00B873A6" w:rsidP="00907718">
      <w:r>
        <w:separator/>
      </w:r>
    </w:p>
  </w:footnote>
  <w:footnote w:type="continuationSeparator" w:id="0">
    <w:p w:rsidR="00B873A6" w:rsidRDefault="00B873A6" w:rsidP="0090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E1" w:rsidRDefault="00075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E1" w:rsidRDefault="00075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E1" w:rsidRDefault="00075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81E9D"/>
    <w:multiLevelType w:val="hybridMultilevel"/>
    <w:tmpl w:val="32CE8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D739F5"/>
    <w:multiLevelType w:val="hybridMultilevel"/>
    <w:tmpl w:val="673282C8"/>
    <w:lvl w:ilvl="0" w:tplc="D9E0F014">
      <w:start w:val="1"/>
      <w:numFmt w:val="bullet"/>
      <w:lvlText w:val=""/>
      <w:lvlJc w:val="left"/>
      <w:pPr>
        <w:tabs>
          <w:tab w:val="num" w:pos="720"/>
        </w:tabs>
        <w:ind w:left="720" w:hanging="360"/>
      </w:pPr>
      <w:rPr>
        <w:rFonts w:ascii="Wingdings" w:hAnsi="Wingdings" w:hint="default"/>
      </w:rPr>
    </w:lvl>
    <w:lvl w:ilvl="1" w:tplc="D25E1F34" w:tentative="1">
      <w:start w:val="1"/>
      <w:numFmt w:val="bullet"/>
      <w:lvlText w:val=""/>
      <w:lvlJc w:val="left"/>
      <w:pPr>
        <w:tabs>
          <w:tab w:val="num" w:pos="1440"/>
        </w:tabs>
        <w:ind w:left="1440" w:hanging="360"/>
      </w:pPr>
      <w:rPr>
        <w:rFonts w:ascii="Wingdings" w:hAnsi="Wingdings" w:hint="default"/>
      </w:rPr>
    </w:lvl>
    <w:lvl w:ilvl="2" w:tplc="662E5A5C" w:tentative="1">
      <w:start w:val="1"/>
      <w:numFmt w:val="bullet"/>
      <w:lvlText w:val=""/>
      <w:lvlJc w:val="left"/>
      <w:pPr>
        <w:tabs>
          <w:tab w:val="num" w:pos="2160"/>
        </w:tabs>
        <w:ind w:left="2160" w:hanging="360"/>
      </w:pPr>
      <w:rPr>
        <w:rFonts w:ascii="Wingdings" w:hAnsi="Wingdings" w:hint="default"/>
      </w:rPr>
    </w:lvl>
    <w:lvl w:ilvl="3" w:tplc="E4BEF23A">
      <w:start w:val="1"/>
      <w:numFmt w:val="bullet"/>
      <w:lvlText w:val=""/>
      <w:lvlJc w:val="left"/>
      <w:pPr>
        <w:tabs>
          <w:tab w:val="num" w:pos="2880"/>
        </w:tabs>
        <w:ind w:left="2880" w:hanging="360"/>
      </w:pPr>
      <w:rPr>
        <w:rFonts w:ascii="Wingdings" w:hAnsi="Wingdings" w:hint="default"/>
      </w:rPr>
    </w:lvl>
    <w:lvl w:ilvl="4" w:tplc="39C0F472" w:tentative="1">
      <w:start w:val="1"/>
      <w:numFmt w:val="bullet"/>
      <w:lvlText w:val=""/>
      <w:lvlJc w:val="left"/>
      <w:pPr>
        <w:tabs>
          <w:tab w:val="num" w:pos="3600"/>
        </w:tabs>
        <w:ind w:left="3600" w:hanging="360"/>
      </w:pPr>
      <w:rPr>
        <w:rFonts w:ascii="Wingdings" w:hAnsi="Wingdings" w:hint="default"/>
      </w:rPr>
    </w:lvl>
    <w:lvl w:ilvl="5" w:tplc="5C64DFCC" w:tentative="1">
      <w:start w:val="1"/>
      <w:numFmt w:val="bullet"/>
      <w:lvlText w:val=""/>
      <w:lvlJc w:val="left"/>
      <w:pPr>
        <w:tabs>
          <w:tab w:val="num" w:pos="4320"/>
        </w:tabs>
        <w:ind w:left="4320" w:hanging="360"/>
      </w:pPr>
      <w:rPr>
        <w:rFonts w:ascii="Wingdings" w:hAnsi="Wingdings" w:hint="default"/>
      </w:rPr>
    </w:lvl>
    <w:lvl w:ilvl="6" w:tplc="2EAE36BC" w:tentative="1">
      <w:start w:val="1"/>
      <w:numFmt w:val="bullet"/>
      <w:lvlText w:val=""/>
      <w:lvlJc w:val="left"/>
      <w:pPr>
        <w:tabs>
          <w:tab w:val="num" w:pos="5040"/>
        </w:tabs>
        <w:ind w:left="5040" w:hanging="360"/>
      </w:pPr>
      <w:rPr>
        <w:rFonts w:ascii="Wingdings" w:hAnsi="Wingdings" w:hint="default"/>
      </w:rPr>
    </w:lvl>
    <w:lvl w:ilvl="7" w:tplc="1CB0D66A" w:tentative="1">
      <w:start w:val="1"/>
      <w:numFmt w:val="bullet"/>
      <w:lvlText w:val=""/>
      <w:lvlJc w:val="left"/>
      <w:pPr>
        <w:tabs>
          <w:tab w:val="num" w:pos="5760"/>
        </w:tabs>
        <w:ind w:left="5760" w:hanging="360"/>
      </w:pPr>
      <w:rPr>
        <w:rFonts w:ascii="Wingdings" w:hAnsi="Wingdings" w:hint="default"/>
      </w:rPr>
    </w:lvl>
    <w:lvl w:ilvl="8" w:tplc="45E022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E14EAC"/>
    <w:multiLevelType w:val="multilevel"/>
    <w:tmpl w:val="C1D6D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2A3D83"/>
    <w:multiLevelType w:val="multilevel"/>
    <w:tmpl w:val="328CA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292917"/>
    <w:multiLevelType w:val="hybridMultilevel"/>
    <w:tmpl w:val="40626F5A"/>
    <w:lvl w:ilvl="0" w:tplc="6AACB8F2">
      <w:start w:val="1"/>
      <w:numFmt w:val="bullet"/>
      <w:lvlText w:val="•"/>
      <w:lvlJc w:val="left"/>
      <w:pPr>
        <w:tabs>
          <w:tab w:val="num" w:pos="720"/>
        </w:tabs>
        <w:ind w:left="720" w:hanging="360"/>
      </w:pPr>
      <w:rPr>
        <w:rFonts w:ascii="Arial" w:hAnsi="Arial" w:hint="default"/>
      </w:rPr>
    </w:lvl>
    <w:lvl w:ilvl="1" w:tplc="8B6E91D0" w:tentative="1">
      <w:start w:val="1"/>
      <w:numFmt w:val="bullet"/>
      <w:lvlText w:val="•"/>
      <w:lvlJc w:val="left"/>
      <w:pPr>
        <w:tabs>
          <w:tab w:val="num" w:pos="1440"/>
        </w:tabs>
        <w:ind w:left="1440" w:hanging="360"/>
      </w:pPr>
      <w:rPr>
        <w:rFonts w:ascii="Arial" w:hAnsi="Arial" w:hint="default"/>
      </w:rPr>
    </w:lvl>
    <w:lvl w:ilvl="2" w:tplc="75FA9C36">
      <w:start w:val="1"/>
      <w:numFmt w:val="bullet"/>
      <w:lvlText w:val="•"/>
      <w:lvlJc w:val="left"/>
      <w:pPr>
        <w:tabs>
          <w:tab w:val="num" w:pos="2160"/>
        </w:tabs>
        <w:ind w:left="2160" w:hanging="360"/>
      </w:pPr>
      <w:rPr>
        <w:rFonts w:ascii="Arial" w:hAnsi="Arial" w:hint="default"/>
      </w:rPr>
    </w:lvl>
    <w:lvl w:ilvl="3" w:tplc="72243746" w:tentative="1">
      <w:start w:val="1"/>
      <w:numFmt w:val="bullet"/>
      <w:lvlText w:val="•"/>
      <w:lvlJc w:val="left"/>
      <w:pPr>
        <w:tabs>
          <w:tab w:val="num" w:pos="2880"/>
        </w:tabs>
        <w:ind w:left="2880" w:hanging="360"/>
      </w:pPr>
      <w:rPr>
        <w:rFonts w:ascii="Arial" w:hAnsi="Arial" w:hint="default"/>
      </w:rPr>
    </w:lvl>
    <w:lvl w:ilvl="4" w:tplc="E79CFE30" w:tentative="1">
      <w:start w:val="1"/>
      <w:numFmt w:val="bullet"/>
      <w:lvlText w:val="•"/>
      <w:lvlJc w:val="left"/>
      <w:pPr>
        <w:tabs>
          <w:tab w:val="num" w:pos="3600"/>
        </w:tabs>
        <w:ind w:left="3600" w:hanging="360"/>
      </w:pPr>
      <w:rPr>
        <w:rFonts w:ascii="Arial" w:hAnsi="Arial" w:hint="default"/>
      </w:rPr>
    </w:lvl>
    <w:lvl w:ilvl="5" w:tplc="0902D788" w:tentative="1">
      <w:start w:val="1"/>
      <w:numFmt w:val="bullet"/>
      <w:lvlText w:val="•"/>
      <w:lvlJc w:val="left"/>
      <w:pPr>
        <w:tabs>
          <w:tab w:val="num" w:pos="4320"/>
        </w:tabs>
        <w:ind w:left="4320" w:hanging="360"/>
      </w:pPr>
      <w:rPr>
        <w:rFonts w:ascii="Arial" w:hAnsi="Arial" w:hint="default"/>
      </w:rPr>
    </w:lvl>
    <w:lvl w:ilvl="6" w:tplc="29EEE638" w:tentative="1">
      <w:start w:val="1"/>
      <w:numFmt w:val="bullet"/>
      <w:lvlText w:val="•"/>
      <w:lvlJc w:val="left"/>
      <w:pPr>
        <w:tabs>
          <w:tab w:val="num" w:pos="5040"/>
        </w:tabs>
        <w:ind w:left="5040" w:hanging="360"/>
      </w:pPr>
      <w:rPr>
        <w:rFonts w:ascii="Arial" w:hAnsi="Arial" w:hint="default"/>
      </w:rPr>
    </w:lvl>
    <w:lvl w:ilvl="7" w:tplc="A9FE2160" w:tentative="1">
      <w:start w:val="1"/>
      <w:numFmt w:val="bullet"/>
      <w:lvlText w:val="•"/>
      <w:lvlJc w:val="left"/>
      <w:pPr>
        <w:tabs>
          <w:tab w:val="num" w:pos="5760"/>
        </w:tabs>
        <w:ind w:left="5760" w:hanging="360"/>
      </w:pPr>
      <w:rPr>
        <w:rFonts w:ascii="Arial" w:hAnsi="Arial" w:hint="default"/>
      </w:rPr>
    </w:lvl>
    <w:lvl w:ilvl="8" w:tplc="C63A3C4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4A"/>
    <w:rsid w:val="00007778"/>
    <w:rsid w:val="000375D5"/>
    <w:rsid w:val="00063CAB"/>
    <w:rsid w:val="000751E1"/>
    <w:rsid w:val="0009064C"/>
    <w:rsid w:val="000D5ECD"/>
    <w:rsid w:val="001307C5"/>
    <w:rsid w:val="001818A2"/>
    <w:rsid w:val="00182715"/>
    <w:rsid w:val="00182A84"/>
    <w:rsid w:val="001A225A"/>
    <w:rsid w:val="0020335A"/>
    <w:rsid w:val="00225465"/>
    <w:rsid w:val="002415CA"/>
    <w:rsid w:val="00267C4A"/>
    <w:rsid w:val="00273911"/>
    <w:rsid w:val="002D083A"/>
    <w:rsid w:val="002E29D9"/>
    <w:rsid w:val="00303DF9"/>
    <w:rsid w:val="00310A10"/>
    <w:rsid w:val="003C721B"/>
    <w:rsid w:val="003F1344"/>
    <w:rsid w:val="0040134E"/>
    <w:rsid w:val="00435BF2"/>
    <w:rsid w:val="00442320"/>
    <w:rsid w:val="00466E55"/>
    <w:rsid w:val="00494EB1"/>
    <w:rsid w:val="004B3D0A"/>
    <w:rsid w:val="004D76A9"/>
    <w:rsid w:val="00507DC4"/>
    <w:rsid w:val="005156E9"/>
    <w:rsid w:val="005176AD"/>
    <w:rsid w:val="005209F8"/>
    <w:rsid w:val="00544ED4"/>
    <w:rsid w:val="00584ADE"/>
    <w:rsid w:val="005A0A0A"/>
    <w:rsid w:val="0061432B"/>
    <w:rsid w:val="006560EB"/>
    <w:rsid w:val="006A1254"/>
    <w:rsid w:val="006A3EF9"/>
    <w:rsid w:val="006D0063"/>
    <w:rsid w:val="00714093"/>
    <w:rsid w:val="00722772"/>
    <w:rsid w:val="00726D2C"/>
    <w:rsid w:val="00783FCC"/>
    <w:rsid w:val="007C6EC1"/>
    <w:rsid w:val="007D2074"/>
    <w:rsid w:val="0080428A"/>
    <w:rsid w:val="008A2C6C"/>
    <w:rsid w:val="00901C88"/>
    <w:rsid w:val="00907718"/>
    <w:rsid w:val="009119A5"/>
    <w:rsid w:val="00915CDB"/>
    <w:rsid w:val="00952027"/>
    <w:rsid w:val="00967A4B"/>
    <w:rsid w:val="00970CEF"/>
    <w:rsid w:val="009D28F6"/>
    <w:rsid w:val="009E224F"/>
    <w:rsid w:val="009E64CD"/>
    <w:rsid w:val="009E74E5"/>
    <w:rsid w:val="00A32382"/>
    <w:rsid w:val="00A8687C"/>
    <w:rsid w:val="00AC2CF2"/>
    <w:rsid w:val="00AE1C89"/>
    <w:rsid w:val="00B36A5A"/>
    <w:rsid w:val="00B873A6"/>
    <w:rsid w:val="00BC7A04"/>
    <w:rsid w:val="00BD343D"/>
    <w:rsid w:val="00C06DD0"/>
    <w:rsid w:val="00C56854"/>
    <w:rsid w:val="00C623F2"/>
    <w:rsid w:val="00C97942"/>
    <w:rsid w:val="00CB14A1"/>
    <w:rsid w:val="00CF3628"/>
    <w:rsid w:val="00D2587B"/>
    <w:rsid w:val="00D51F65"/>
    <w:rsid w:val="00DB5913"/>
    <w:rsid w:val="00E005D3"/>
    <w:rsid w:val="00E10B11"/>
    <w:rsid w:val="00E404AB"/>
    <w:rsid w:val="00E67158"/>
    <w:rsid w:val="00E824BF"/>
    <w:rsid w:val="00E87AEE"/>
    <w:rsid w:val="00E94167"/>
    <w:rsid w:val="00F15EC3"/>
    <w:rsid w:val="00F4651E"/>
    <w:rsid w:val="00FB5594"/>
    <w:rsid w:val="00FC4387"/>
    <w:rsid w:val="00FE7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649430"/>
  <w15:docId w15:val="{8BC737D2-E2B4-4F5F-89F6-369A55C2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C4A"/>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9D28F6"/>
    <w:pPr>
      <w:outlineLvl w:val="0"/>
    </w:pPr>
    <w:rPr>
      <w:rFonts w:ascii="Verdana" w:eastAsia="Times New Roman" w:hAnsi="Verdana"/>
      <w:b/>
      <w:bCs/>
      <w:color w:val="222222"/>
      <w:kern w:val="36"/>
      <w:sz w:val="34"/>
      <w:szCs w:val="34"/>
    </w:rPr>
  </w:style>
  <w:style w:type="paragraph" w:styleId="Heading3">
    <w:name w:val="heading 3"/>
    <w:basedOn w:val="Normal"/>
    <w:link w:val="Heading3Char"/>
    <w:uiPriority w:val="9"/>
    <w:qFormat/>
    <w:rsid w:val="009D28F6"/>
    <w:pPr>
      <w:outlineLvl w:val="2"/>
    </w:pPr>
    <w:rPr>
      <w:rFonts w:ascii="Verdana" w:eastAsia="Times New Roman" w:hAnsi="Verdana"/>
      <w:b/>
      <w:bCs/>
      <w:color w:val="22222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7718"/>
    <w:rPr>
      <w:sz w:val="20"/>
      <w:szCs w:val="20"/>
    </w:rPr>
  </w:style>
  <w:style w:type="character" w:customStyle="1" w:styleId="FootnoteTextChar">
    <w:name w:val="Footnote Text Char"/>
    <w:basedOn w:val="DefaultParagraphFont"/>
    <w:link w:val="FootnoteText"/>
    <w:uiPriority w:val="99"/>
    <w:semiHidden/>
    <w:rsid w:val="00907718"/>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07718"/>
    <w:rPr>
      <w:vertAlign w:val="superscript"/>
    </w:rPr>
  </w:style>
  <w:style w:type="paragraph" w:customStyle="1" w:styleId="AAAbody">
    <w:name w:val="AAA body#"/>
    <w:basedOn w:val="Normal"/>
    <w:link w:val="AAAbodyChar"/>
    <w:qFormat/>
    <w:rsid w:val="006D0063"/>
    <w:rPr>
      <w:rFonts w:asciiTheme="minorHAnsi" w:eastAsia="SimSun" w:hAnsiTheme="minorHAnsi" w:cs="Arial"/>
      <w:sz w:val="22"/>
      <w:szCs w:val="22"/>
      <w:lang w:eastAsia="en-US"/>
    </w:rPr>
  </w:style>
  <w:style w:type="character" w:customStyle="1" w:styleId="AAAbodyChar">
    <w:name w:val="AAA body# Char"/>
    <w:basedOn w:val="DefaultParagraphFont"/>
    <w:link w:val="AAAbody"/>
    <w:rsid w:val="006D0063"/>
    <w:rPr>
      <w:rFonts w:eastAsia="SimSun" w:cs="Arial"/>
    </w:rPr>
  </w:style>
  <w:style w:type="character" w:styleId="Hyperlink">
    <w:name w:val="Hyperlink"/>
    <w:basedOn w:val="DefaultParagraphFont"/>
    <w:uiPriority w:val="99"/>
    <w:unhideWhenUsed/>
    <w:rsid w:val="009E74E5"/>
    <w:rPr>
      <w:color w:val="FFFFFF" w:themeColor="hyperlink"/>
      <w:u w:val="single"/>
    </w:rPr>
  </w:style>
  <w:style w:type="paragraph" w:styleId="ListParagraph">
    <w:name w:val="List Paragraph"/>
    <w:basedOn w:val="Normal"/>
    <w:uiPriority w:val="34"/>
    <w:qFormat/>
    <w:rsid w:val="009E74E5"/>
    <w:pPr>
      <w:ind w:left="720"/>
      <w:contextualSpacing/>
    </w:pPr>
  </w:style>
  <w:style w:type="character" w:customStyle="1" w:styleId="Heading1Char">
    <w:name w:val="Heading 1 Char"/>
    <w:basedOn w:val="DefaultParagraphFont"/>
    <w:link w:val="Heading1"/>
    <w:uiPriority w:val="9"/>
    <w:rsid w:val="009D28F6"/>
    <w:rPr>
      <w:rFonts w:ascii="Verdana" w:eastAsia="Times New Roman" w:hAnsi="Verdana" w:cs="Times New Roman"/>
      <w:b/>
      <w:bCs/>
      <w:color w:val="222222"/>
      <w:kern w:val="36"/>
      <w:sz w:val="34"/>
      <w:szCs w:val="34"/>
      <w:lang w:eastAsia="en-GB"/>
    </w:rPr>
  </w:style>
  <w:style w:type="character" w:customStyle="1" w:styleId="Heading3Char">
    <w:name w:val="Heading 3 Char"/>
    <w:basedOn w:val="DefaultParagraphFont"/>
    <w:link w:val="Heading3"/>
    <w:uiPriority w:val="9"/>
    <w:rsid w:val="009D28F6"/>
    <w:rPr>
      <w:rFonts w:ascii="Verdana" w:eastAsia="Times New Roman" w:hAnsi="Verdana" w:cs="Times New Roman"/>
      <w:b/>
      <w:bCs/>
      <w:color w:val="222222"/>
      <w:sz w:val="27"/>
      <w:szCs w:val="27"/>
      <w:lang w:eastAsia="en-GB"/>
    </w:rPr>
  </w:style>
  <w:style w:type="character" w:styleId="Strong">
    <w:name w:val="Strong"/>
    <w:basedOn w:val="DefaultParagraphFont"/>
    <w:uiPriority w:val="22"/>
    <w:qFormat/>
    <w:rsid w:val="009D28F6"/>
    <w:rPr>
      <w:b/>
      <w:bCs/>
    </w:rPr>
  </w:style>
  <w:style w:type="paragraph" w:styleId="BalloonText">
    <w:name w:val="Balloon Text"/>
    <w:basedOn w:val="Normal"/>
    <w:link w:val="BalloonTextChar"/>
    <w:uiPriority w:val="99"/>
    <w:semiHidden/>
    <w:unhideWhenUsed/>
    <w:rsid w:val="00722772"/>
    <w:rPr>
      <w:rFonts w:ascii="Tahoma" w:hAnsi="Tahoma" w:cs="Tahoma"/>
      <w:sz w:val="16"/>
      <w:szCs w:val="16"/>
    </w:rPr>
  </w:style>
  <w:style w:type="character" w:customStyle="1" w:styleId="BalloonTextChar">
    <w:name w:val="Balloon Text Char"/>
    <w:basedOn w:val="DefaultParagraphFont"/>
    <w:link w:val="BalloonText"/>
    <w:uiPriority w:val="99"/>
    <w:semiHidden/>
    <w:rsid w:val="00722772"/>
    <w:rPr>
      <w:rFonts w:ascii="Tahoma" w:hAnsi="Tahoma" w:cs="Tahoma"/>
      <w:sz w:val="16"/>
      <w:szCs w:val="16"/>
      <w:lang w:eastAsia="en-GB"/>
    </w:rPr>
  </w:style>
  <w:style w:type="character" w:styleId="FollowedHyperlink">
    <w:name w:val="FollowedHyperlink"/>
    <w:basedOn w:val="DefaultParagraphFont"/>
    <w:uiPriority w:val="99"/>
    <w:semiHidden/>
    <w:unhideWhenUsed/>
    <w:rsid w:val="006A1254"/>
    <w:rPr>
      <w:color w:val="FFFFFF" w:themeColor="followedHyperlink"/>
      <w:u w:val="single"/>
    </w:rPr>
  </w:style>
  <w:style w:type="paragraph" w:customStyle="1" w:styleId="Default">
    <w:name w:val="Default"/>
    <w:rsid w:val="006560EB"/>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783FCC"/>
    <w:pPr>
      <w:tabs>
        <w:tab w:val="center" w:pos="4513"/>
        <w:tab w:val="right" w:pos="9026"/>
      </w:tabs>
    </w:pPr>
  </w:style>
  <w:style w:type="character" w:customStyle="1" w:styleId="HeaderChar">
    <w:name w:val="Header Char"/>
    <w:basedOn w:val="DefaultParagraphFont"/>
    <w:link w:val="Header"/>
    <w:uiPriority w:val="99"/>
    <w:rsid w:val="00783FCC"/>
    <w:rPr>
      <w:rFonts w:ascii="Times New Roman" w:hAnsi="Times New Roman" w:cs="Times New Roman"/>
      <w:sz w:val="24"/>
      <w:szCs w:val="24"/>
      <w:lang w:eastAsia="en-GB"/>
    </w:rPr>
  </w:style>
  <w:style w:type="paragraph" w:styleId="Footer">
    <w:name w:val="footer"/>
    <w:basedOn w:val="Normal"/>
    <w:link w:val="FooterChar"/>
    <w:uiPriority w:val="99"/>
    <w:unhideWhenUsed/>
    <w:rsid w:val="00783FCC"/>
    <w:pPr>
      <w:tabs>
        <w:tab w:val="center" w:pos="4513"/>
        <w:tab w:val="right" w:pos="9026"/>
      </w:tabs>
    </w:pPr>
  </w:style>
  <w:style w:type="character" w:customStyle="1" w:styleId="FooterChar">
    <w:name w:val="Footer Char"/>
    <w:basedOn w:val="DefaultParagraphFont"/>
    <w:link w:val="Footer"/>
    <w:uiPriority w:val="99"/>
    <w:rsid w:val="00783FCC"/>
    <w:rPr>
      <w:rFonts w:ascii="Times New Roman" w:hAnsi="Times New Roman" w:cs="Times New Roman"/>
      <w:sz w:val="24"/>
      <w:szCs w:val="24"/>
      <w:lang w:eastAsia="en-GB"/>
    </w:rPr>
  </w:style>
  <w:style w:type="paragraph" w:styleId="NormalWeb">
    <w:name w:val="Normal (Web)"/>
    <w:basedOn w:val="Normal"/>
    <w:uiPriority w:val="99"/>
    <w:semiHidden/>
    <w:unhideWhenUsed/>
    <w:rsid w:val="00182715"/>
    <w:pPr>
      <w:spacing w:before="100" w:beforeAutospacing="1" w:after="100" w:afterAutospacing="1"/>
    </w:pPr>
  </w:style>
  <w:style w:type="character" w:customStyle="1" w:styleId="redactor-invisible-space">
    <w:name w:val="redactor-invisible-space"/>
    <w:basedOn w:val="DefaultParagraphFont"/>
    <w:rsid w:val="000D5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4769">
      <w:bodyDiv w:val="1"/>
      <w:marLeft w:val="0"/>
      <w:marRight w:val="0"/>
      <w:marTop w:val="0"/>
      <w:marBottom w:val="0"/>
      <w:divBdr>
        <w:top w:val="none" w:sz="0" w:space="0" w:color="auto"/>
        <w:left w:val="none" w:sz="0" w:space="0" w:color="auto"/>
        <w:bottom w:val="none" w:sz="0" w:space="0" w:color="auto"/>
        <w:right w:val="none" w:sz="0" w:space="0" w:color="auto"/>
      </w:divBdr>
      <w:divsChild>
        <w:div w:id="734276407">
          <w:marLeft w:val="274"/>
          <w:marRight w:val="0"/>
          <w:marTop w:val="0"/>
          <w:marBottom w:val="20"/>
          <w:divBdr>
            <w:top w:val="none" w:sz="0" w:space="0" w:color="auto"/>
            <w:left w:val="none" w:sz="0" w:space="0" w:color="auto"/>
            <w:bottom w:val="none" w:sz="0" w:space="0" w:color="auto"/>
            <w:right w:val="none" w:sz="0" w:space="0" w:color="auto"/>
          </w:divBdr>
        </w:div>
        <w:div w:id="1297419648">
          <w:marLeft w:val="274"/>
          <w:marRight w:val="0"/>
          <w:marTop w:val="0"/>
          <w:marBottom w:val="20"/>
          <w:divBdr>
            <w:top w:val="none" w:sz="0" w:space="0" w:color="auto"/>
            <w:left w:val="none" w:sz="0" w:space="0" w:color="auto"/>
            <w:bottom w:val="none" w:sz="0" w:space="0" w:color="auto"/>
            <w:right w:val="none" w:sz="0" w:space="0" w:color="auto"/>
          </w:divBdr>
        </w:div>
        <w:div w:id="860975292">
          <w:marLeft w:val="274"/>
          <w:marRight w:val="0"/>
          <w:marTop w:val="0"/>
          <w:marBottom w:val="20"/>
          <w:divBdr>
            <w:top w:val="none" w:sz="0" w:space="0" w:color="auto"/>
            <w:left w:val="none" w:sz="0" w:space="0" w:color="auto"/>
            <w:bottom w:val="none" w:sz="0" w:space="0" w:color="auto"/>
            <w:right w:val="none" w:sz="0" w:space="0" w:color="auto"/>
          </w:divBdr>
        </w:div>
        <w:div w:id="662664794">
          <w:marLeft w:val="274"/>
          <w:marRight w:val="0"/>
          <w:marTop w:val="0"/>
          <w:marBottom w:val="20"/>
          <w:divBdr>
            <w:top w:val="none" w:sz="0" w:space="0" w:color="auto"/>
            <w:left w:val="none" w:sz="0" w:space="0" w:color="auto"/>
            <w:bottom w:val="none" w:sz="0" w:space="0" w:color="auto"/>
            <w:right w:val="none" w:sz="0" w:space="0" w:color="auto"/>
          </w:divBdr>
        </w:div>
      </w:divsChild>
    </w:div>
    <w:div w:id="191456660">
      <w:bodyDiv w:val="1"/>
      <w:marLeft w:val="0"/>
      <w:marRight w:val="0"/>
      <w:marTop w:val="0"/>
      <w:marBottom w:val="0"/>
      <w:divBdr>
        <w:top w:val="none" w:sz="0" w:space="0" w:color="auto"/>
        <w:left w:val="none" w:sz="0" w:space="0" w:color="auto"/>
        <w:bottom w:val="none" w:sz="0" w:space="0" w:color="auto"/>
        <w:right w:val="none" w:sz="0" w:space="0" w:color="auto"/>
      </w:divBdr>
    </w:div>
    <w:div w:id="303855091">
      <w:bodyDiv w:val="1"/>
      <w:marLeft w:val="0"/>
      <w:marRight w:val="0"/>
      <w:marTop w:val="0"/>
      <w:marBottom w:val="0"/>
      <w:divBdr>
        <w:top w:val="none" w:sz="0" w:space="0" w:color="auto"/>
        <w:left w:val="none" w:sz="0" w:space="0" w:color="auto"/>
        <w:bottom w:val="none" w:sz="0" w:space="0" w:color="auto"/>
        <w:right w:val="none" w:sz="0" w:space="0" w:color="auto"/>
      </w:divBdr>
    </w:div>
    <w:div w:id="529610388">
      <w:bodyDiv w:val="1"/>
      <w:marLeft w:val="0"/>
      <w:marRight w:val="0"/>
      <w:marTop w:val="0"/>
      <w:marBottom w:val="0"/>
      <w:divBdr>
        <w:top w:val="none" w:sz="0" w:space="0" w:color="auto"/>
        <w:left w:val="none" w:sz="0" w:space="0" w:color="auto"/>
        <w:bottom w:val="none" w:sz="0" w:space="0" w:color="auto"/>
        <w:right w:val="none" w:sz="0" w:space="0" w:color="auto"/>
      </w:divBdr>
    </w:div>
    <w:div w:id="537545414">
      <w:bodyDiv w:val="1"/>
      <w:marLeft w:val="0"/>
      <w:marRight w:val="0"/>
      <w:marTop w:val="0"/>
      <w:marBottom w:val="0"/>
      <w:divBdr>
        <w:top w:val="none" w:sz="0" w:space="0" w:color="auto"/>
        <w:left w:val="none" w:sz="0" w:space="0" w:color="auto"/>
        <w:bottom w:val="none" w:sz="0" w:space="0" w:color="auto"/>
        <w:right w:val="none" w:sz="0" w:space="0" w:color="auto"/>
      </w:divBdr>
    </w:div>
    <w:div w:id="592932023">
      <w:bodyDiv w:val="1"/>
      <w:marLeft w:val="0"/>
      <w:marRight w:val="0"/>
      <w:marTop w:val="0"/>
      <w:marBottom w:val="0"/>
      <w:divBdr>
        <w:top w:val="none" w:sz="0" w:space="0" w:color="auto"/>
        <w:left w:val="none" w:sz="0" w:space="0" w:color="auto"/>
        <w:bottom w:val="none" w:sz="0" w:space="0" w:color="auto"/>
        <w:right w:val="none" w:sz="0" w:space="0" w:color="auto"/>
      </w:divBdr>
      <w:divsChild>
        <w:div w:id="1703049512">
          <w:marLeft w:val="0"/>
          <w:marRight w:val="0"/>
          <w:marTop w:val="0"/>
          <w:marBottom w:val="0"/>
          <w:divBdr>
            <w:top w:val="none" w:sz="0" w:space="0" w:color="auto"/>
            <w:left w:val="none" w:sz="0" w:space="0" w:color="auto"/>
            <w:bottom w:val="none" w:sz="0" w:space="0" w:color="auto"/>
            <w:right w:val="none" w:sz="0" w:space="0" w:color="auto"/>
          </w:divBdr>
          <w:divsChild>
            <w:div w:id="1070035665">
              <w:marLeft w:val="0"/>
              <w:marRight w:val="0"/>
              <w:marTop w:val="0"/>
              <w:marBottom w:val="0"/>
              <w:divBdr>
                <w:top w:val="none" w:sz="0" w:space="0" w:color="auto"/>
                <w:left w:val="none" w:sz="0" w:space="0" w:color="auto"/>
                <w:bottom w:val="none" w:sz="0" w:space="0" w:color="auto"/>
                <w:right w:val="none" w:sz="0" w:space="0" w:color="auto"/>
              </w:divBdr>
              <w:divsChild>
                <w:div w:id="1770202870">
                  <w:marLeft w:val="0"/>
                  <w:marRight w:val="0"/>
                  <w:marTop w:val="0"/>
                  <w:marBottom w:val="0"/>
                  <w:divBdr>
                    <w:top w:val="none" w:sz="0" w:space="0" w:color="auto"/>
                    <w:left w:val="none" w:sz="0" w:space="0" w:color="auto"/>
                    <w:bottom w:val="none" w:sz="0" w:space="0" w:color="auto"/>
                    <w:right w:val="none" w:sz="0" w:space="0" w:color="auto"/>
                  </w:divBdr>
                  <w:divsChild>
                    <w:div w:id="3372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72027">
      <w:bodyDiv w:val="1"/>
      <w:marLeft w:val="0"/>
      <w:marRight w:val="0"/>
      <w:marTop w:val="0"/>
      <w:marBottom w:val="0"/>
      <w:divBdr>
        <w:top w:val="none" w:sz="0" w:space="0" w:color="auto"/>
        <w:left w:val="none" w:sz="0" w:space="0" w:color="auto"/>
        <w:bottom w:val="none" w:sz="0" w:space="0" w:color="auto"/>
        <w:right w:val="none" w:sz="0" w:space="0" w:color="auto"/>
      </w:divBdr>
      <w:divsChild>
        <w:div w:id="1180118053">
          <w:marLeft w:val="0"/>
          <w:marRight w:val="0"/>
          <w:marTop w:val="0"/>
          <w:marBottom w:val="0"/>
          <w:divBdr>
            <w:top w:val="none" w:sz="0" w:space="0" w:color="auto"/>
            <w:left w:val="none" w:sz="0" w:space="0" w:color="auto"/>
            <w:bottom w:val="none" w:sz="0" w:space="0" w:color="auto"/>
            <w:right w:val="none" w:sz="0" w:space="0" w:color="auto"/>
          </w:divBdr>
          <w:divsChild>
            <w:div w:id="1607418680">
              <w:marLeft w:val="0"/>
              <w:marRight w:val="0"/>
              <w:marTop w:val="0"/>
              <w:marBottom w:val="0"/>
              <w:divBdr>
                <w:top w:val="none" w:sz="0" w:space="0" w:color="auto"/>
                <w:left w:val="none" w:sz="0" w:space="0" w:color="auto"/>
                <w:bottom w:val="none" w:sz="0" w:space="0" w:color="auto"/>
                <w:right w:val="none" w:sz="0" w:space="0" w:color="auto"/>
              </w:divBdr>
              <w:divsChild>
                <w:div w:id="1221284152">
                  <w:marLeft w:val="0"/>
                  <w:marRight w:val="0"/>
                  <w:marTop w:val="0"/>
                  <w:marBottom w:val="0"/>
                  <w:divBdr>
                    <w:top w:val="none" w:sz="0" w:space="0" w:color="auto"/>
                    <w:left w:val="none" w:sz="0" w:space="0" w:color="auto"/>
                    <w:bottom w:val="none" w:sz="0" w:space="0" w:color="auto"/>
                    <w:right w:val="none" w:sz="0" w:space="0" w:color="auto"/>
                  </w:divBdr>
                  <w:divsChild>
                    <w:div w:id="13571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54695">
      <w:bodyDiv w:val="1"/>
      <w:marLeft w:val="0"/>
      <w:marRight w:val="0"/>
      <w:marTop w:val="0"/>
      <w:marBottom w:val="0"/>
      <w:divBdr>
        <w:top w:val="none" w:sz="0" w:space="0" w:color="auto"/>
        <w:left w:val="none" w:sz="0" w:space="0" w:color="auto"/>
        <w:bottom w:val="none" w:sz="0" w:space="0" w:color="auto"/>
        <w:right w:val="none" w:sz="0" w:space="0" w:color="auto"/>
      </w:divBdr>
    </w:div>
    <w:div w:id="935864650">
      <w:bodyDiv w:val="1"/>
      <w:marLeft w:val="0"/>
      <w:marRight w:val="0"/>
      <w:marTop w:val="0"/>
      <w:marBottom w:val="0"/>
      <w:divBdr>
        <w:top w:val="none" w:sz="0" w:space="0" w:color="auto"/>
        <w:left w:val="none" w:sz="0" w:space="0" w:color="auto"/>
        <w:bottom w:val="none" w:sz="0" w:space="0" w:color="auto"/>
        <w:right w:val="none" w:sz="0" w:space="0" w:color="auto"/>
      </w:divBdr>
    </w:div>
    <w:div w:id="1118639611">
      <w:bodyDiv w:val="1"/>
      <w:marLeft w:val="0"/>
      <w:marRight w:val="0"/>
      <w:marTop w:val="0"/>
      <w:marBottom w:val="0"/>
      <w:divBdr>
        <w:top w:val="none" w:sz="0" w:space="0" w:color="auto"/>
        <w:left w:val="none" w:sz="0" w:space="0" w:color="auto"/>
        <w:bottom w:val="none" w:sz="0" w:space="0" w:color="auto"/>
        <w:right w:val="none" w:sz="0" w:space="0" w:color="auto"/>
      </w:divBdr>
      <w:divsChild>
        <w:div w:id="416488622">
          <w:marLeft w:val="0"/>
          <w:marRight w:val="0"/>
          <w:marTop w:val="0"/>
          <w:marBottom w:val="0"/>
          <w:divBdr>
            <w:top w:val="none" w:sz="0" w:space="0" w:color="auto"/>
            <w:left w:val="none" w:sz="0" w:space="0" w:color="auto"/>
            <w:bottom w:val="none" w:sz="0" w:space="0" w:color="auto"/>
            <w:right w:val="none" w:sz="0" w:space="0" w:color="auto"/>
          </w:divBdr>
          <w:divsChild>
            <w:div w:id="92090405">
              <w:marLeft w:val="0"/>
              <w:marRight w:val="0"/>
              <w:marTop w:val="0"/>
              <w:marBottom w:val="0"/>
              <w:divBdr>
                <w:top w:val="none" w:sz="0" w:space="0" w:color="auto"/>
                <w:left w:val="none" w:sz="0" w:space="0" w:color="auto"/>
                <w:bottom w:val="none" w:sz="0" w:space="0" w:color="auto"/>
                <w:right w:val="none" w:sz="0" w:space="0" w:color="auto"/>
              </w:divBdr>
              <w:divsChild>
                <w:div w:id="532772856">
                  <w:marLeft w:val="0"/>
                  <w:marRight w:val="0"/>
                  <w:marTop w:val="0"/>
                  <w:marBottom w:val="0"/>
                  <w:divBdr>
                    <w:top w:val="none" w:sz="0" w:space="0" w:color="auto"/>
                    <w:left w:val="none" w:sz="0" w:space="0" w:color="auto"/>
                    <w:bottom w:val="none" w:sz="0" w:space="0" w:color="auto"/>
                    <w:right w:val="none" w:sz="0" w:space="0" w:color="auto"/>
                  </w:divBdr>
                  <w:divsChild>
                    <w:div w:id="19456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89538">
      <w:bodyDiv w:val="1"/>
      <w:marLeft w:val="0"/>
      <w:marRight w:val="0"/>
      <w:marTop w:val="0"/>
      <w:marBottom w:val="0"/>
      <w:divBdr>
        <w:top w:val="none" w:sz="0" w:space="0" w:color="auto"/>
        <w:left w:val="none" w:sz="0" w:space="0" w:color="auto"/>
        <w:bottom w:val="none" w:sz="0" w:space="0" w:color="auto"/>
        <w:right w:val="none" w:sz="0" w:space="0" w:color="auto"/>
      </w:divBdr>
      <w:divsChild>
        <w:div w:id="916667938">
          <w:marLeft w:val="0"/>
          <w:marRight w:val="0"/>
          <w:marTop w:val="0"/>
          <w:marBottom w:val="0"/>
          <w:divBdr>
            <w:top w:val="none" w:sz="0" w:space="0" w:color="auto"/>
            <w:left w:val="none" w:sz="0" w:space="0" w:color="auto"/>
            <w:bottom w:val="none" w:sz="0" w:space="0" w:color="auto"/>
            <w:right w:val="none" w:sz="0" w:space="0" w:color="auto"/>
          </w:divBdr>
          <w:divsChild>
            <w:div w:id="1377776989">
              <w:marLeft w:val="0"/>
              <w:marRight w:val="0"/>
              <w:marTop w:val="0"/>
              <w:marBottom w:val="0"/>
              <w:divBdr>
                <w:top w:val="none" w:sz="0" w:space="0" w:color="auto"/>
                <w:left w:val="none" w:sz="0" w:space="0" w:color="auto"/>
                <w:bottom w:val="none" w:sz="0" w:space="0" w:color="auto"/>
                <w:right w:val="none" w:sz="0" w:space="0" w:color="auto"/>
              </w:divBdr>
              <w:divsChild>
                <w:div w:id="1496647672">
                  <w:marLeft w:val="0"/>
                  <w:marRight w:val="0"/>
                  <w:marTop w:val="0"/>
                  <w:marBottom w:val="0"/>
                  <w:divBdr>
                    <w:top w:val="none" w:sz="0" w:space="0" w:color="auto"/>
                    <w:left w:val="none" w:sz="0" w:space="0" w:color="auto"/>
                    <w:bottom w:val="none" w:sz="0" w:space="0" w:color="auto"/>
                    <w:right w:val="none" w:sz="0" w:space="0" w:color="auto"/>
                  </w:divBdr>
                  <w:divsChild>
                    <w:div w:id="13512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429527">
      <w:bodyDiv w:val="1"/>
      <w:marLeft w:val="0"/>
      <w:marRight w:val="0"/>
      <w:marTop w:val="0"/>
      <w:marBottom w:val="0"/>
      <w:divBdr>
        <w:top w:val="none" w:sz="0" w:space="0" w:color="auto"/>
        <w:left w:val="none" w:sz="0" w:space="0" w:color="auto"/>
        <w:bottom w:val="none" w:sz="0" w:space="0" w:color="auto"/>
        <w:right w:val="none" w:sz="0" w:space="0" w:color="auto"/>
      </w:divBdr>
      <w:divsChild>
        <w:div w:id="1836800759">
          <w:marLeft w:val="0"/>
          <w:marRight w:val="0"/>
          <w:marTop w:val="0"/>
          <w:marBottom w:val="0"/>
          <w:divBdr>
            <w:top w:val="none" w:sz="0" w:space="0" w:color="auto"/>
            <w:left w:val="none" w:sz="0" w:space="0" w:color="auto"/>
            <w:bottom w:val="none" w:sz="0" w:space="0" w:color="auto"/>
            <w:right w:val="none" w:sz="0" w:space="0" w:color="auto"/>
          </w:divBdr>
          <w:divsChild>
            <w:div w:id="814372422">
              <w:marLeft w:val="0"/>
              <w:marRight w:val="0"/>
              <w:marTop w:val="0"/>
              <w:marBottom w:val="0"/>
              <w:divBdr>
                <w:top w:val="none" w:sz="0" w:space="0" w:color="auto"/>
                <w:left w:val="none" w:sz="0" w:space="0" w:color="auto"/>
                <w:bottom w:val="none" w:sz="0" w:space="0" w:color="auto"/>
                <w:right w:val="none" w:sz="0" w:space="0" w:color="auto"/>
              </w:divBdr>
              <w:divsChild>
                <w:div w:id="2004308205">
                  <w:marLeft w:val="0"/>
                  <w:marRight w:val="0"/>
                  <w:marTop w:val="0"/>
                  <w:marBottom w:val="0"/>
                  <w:divBdr>
                    <w:top w:val="none" w:sz="0" w:space="0" w:color="auto"/>
                    <w:left w:val="none" w:sz="0" w:space="0" w:color="auto"/>
                    <w:bottom w:val="none" w:sz="0" w:space="0" w:color="auto"/>
                    <w:right w:val="none" w:sz="0" w:space="0" w:color="auto"/>
                  </w:divBdr>
                  <w:divsChild>
                    <w:div w:id="1857885969">
                      <w:marLeft w:val="0"/>
                      <w:marRight w:val="0"/>
                      <w:marTop w:val="0"/>
                      <w:marBottom w:val="0"/>
                      <w:divBdr>
                        <w:top w:val="none" w:sz="0" w:space="0" w:color="auto"/>
                        <w:left w:val="none" w:sz="0" w:space="0" w:color="auto"/>
                        <w:bottom w:val="none" w:sz="0" w:space="0" w:color="auto"/>
                        <w:right w:val="none" w:sz="0" w:space="0" w:color="auto"/>
                      </w:divBdr>
                      <w:divsChild>
                        <w:div w:id="778109214">
                          <w:marLeft w:val="0"/>
                          <w:marRight w:val="0"/>
                          <w:marTop w:val="0"/>
                          <w:marBottom w:val="0"/>
                          <w:divBdr>
                            <w:top w:val="none" w:sz="0" w:space="0" w:color="auto"/>
                            <w:left w:val="none" w:sz="0" w:space="0" w:color="auto"/>
                            <w:bottom w:val="none" w:sz="0" w:space="0" w:color="auto"/>
                            <w:right w:val="none" w:sz="0" w:space="0" w:color="auto"/>
                          </w:divBdr>
                          <w:divsChild>
                            <w:div w:id="207230044">
                              <w:marLeft w:val="0"/>
                              <w:marRight w:val="0"/>
                              <w:marTop w:val="0"/>
                              <w:marBottom w:val="0"/>
                              <w:divBdr>
                                <w:top w:val="none" w:sz="0" w:space="0" w:color="auto"/>
                                <w:left w:val="none" w:sz="0" w:space="0" w:color="auto"/>
                                <w:bottom w:val="none" w:sz="0" w:space="0" w:color="auto"/>
                                <w:right w:val="none" w:sz="0" w:space="0" w:color="auto"/>
                              </w:divBdr>
                              <w:divsChild>
                                <w:div w:id="1228567133">
                                  <w:marLeft w:val="0"/>
                                  <w:marRight w:val="0"/>
                                  <w:marTop w:val="0"/>
                                  <w:marBottom w:val="0"/>
                                  <w:divBdr>
                                    <w:top w:val="none" w:sz="0" w:space="0" w:color="auto"/>
                                    <w:left w:val="none" w:sz="0" w:space="0" w:color="auto"/>
                                    <w:bottom w:val="none" w:sz="0" w:space="0" w:color="auto"/>
                                    <w:right w:val="none" w:sz="0" w:space="0" w:color="auto"/>
                                  </w:divBdr>
                                  <w:divsChild>
                                    <w:div w:id="4983867">
                                      <w:marLeft w:val="0"/>
                                      <w:marRight w:val="0"/>
                                      <w:marTop w:val="0"/>
                                      <w:marBottom w:val="0"/>
                                      <w:divBdr>
                                        <w:top w:val="none" w:sz="0" w:space="0" w:color="auto"/>
                                        <w:left w:val="none" w:sz="0" w:space="0" w:color="auto"/>
                                        <w:bottom w:val="none" w:sz="0" w:space="0" w:color="auto"/>
                                        <w:right w:val="none" w:sz="0" w:space="0" w:color="auto"/>
                                      </w:divBdr>
                                      <w:divsChild>
                                        <w:div w:id="127015014">
                                          <w:marLeft w:val="0"/>
                                          <w:marRight w:val="0"/>
                                          <w:marTop w:val="0"/>
                                          <w:marBottom w:val="0"/>
                                          <w:divBdr>
                                            <w:top w:val="none" w:sz="0" w:space="0" w:color="auto"/>
                                            <w:left w:val="none" w:sz="0" w:space="0" w:color="auto"/>
                                            <w:bottom w:val="none" w:sz="0" w:space="0" w:color="auto"/>
                                            <w:right w:val="none" w:sz="0" w:space="0" w:color="auto"/>
                                          </w:divBdr>
                                          <w:divsChild>
                                            <w:div w:id="19166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627201">
      <w:bodyDiv w:val="1"/>
      <w:marLeft w:val="0"/>
      <w:marRight w:val="0"/>
      <w:marTop w:val="0"/>
      <w:marBottom w:val="0"/>
      <w:divBdr>
        <w:top w:val="none" w:sz="0" w:space="0" w:color="auto"/>
        <w:left w:val="none" w:sz="0" w:space="0" w:color="auto"/>
        <w:bottom w:val="none" w:sz="0" w:space="0" w:color="auto"/>
        <w:right w:val="none" w:sz="0" w:space="0" w:color="auto"/>
      </w:divBdr>
    </w:div>
    <w:div w:id="1458177774">
      <w:bodyDiv w:val="1"/>
      <w:marLeft w:val="0"/>
      <w:marRight w:val="0"/>
      <w:marTop w:val="0"/>
      <w:marBottom w:val="0"/>
      <w:divBdr>
        <w:top w:val="none" w:sz="0" w:space="0" w:color="auto"/>
        <w:left w:val="none" w:sz="0" w:space="0" w:color="auto"/>
        <w:bottom w:val="none" w:sz="0" w:space="0" w:color="auto"/>
        <w:right w:val="none" w:sz="0" w:space="0" w:color="auto"/>
      </w:divBdr>
    </w:div>
    <w:div w:id="1709530334">
      <w:bodyDiv w:val="1"/>
      <w:marLeft w:val="0"/>
      <w:marRight w:val="0"/>
      <w:marTop w:val="0"/>
      <w:marBottom w:val="0"/>
      <w:divBdr>
        <w:top w:val="none" w:sz="0" w:space="0" w:color="auto"/>
        <w:left w:val="none" w:sz="0" w:space="0" w:color="auto"/>
        <w:bottom w:val="none" w:sz="0" w:space="0" w:color="auto"/>
        <w:right w:val="none" w:sz="0" w:space="0" w:color="auto"/>
      </w:divBdr>
      <w:divsChild>
        <w:div w:id="1410812490">
          <w:marLeft w:val="288"/>
          <w:marRight w:val="0"/>
          <w:marTop w:val="0"/>
          <w:marBottom w:val="80"/>
          <w:divBdr>
            <w:top w:val="none" w:sz="0" w:space="0" w:color="auto"/>
            <w:left w:val="none" w:sz="0" w:space="0" w:color="auto"/>
            <w:bottom w:val="none" w:sz="0" w:space="0" w:color="auto"/>
            <w:right w:val="none" w:sz="0" w:space="0" w:color="auto"/>
          </w:divBdr>
        </w:div>
        <w:div w:id="1032459052">
          <w:marLeft w:val="288"/>
          <w:marRight w:val="0"/>
          <w:marTop w:val="0"/>
          <w:marBottom w:val="80"/>
          <w:divBdr>
            <w:top w:val="none" w:sz="0" w:space="0" w:color="auto"/>
            <w:left w:val="none" w:sz="0" w:space="0" w:color="auto"/>
            <w:bottom w:val="none" w:sz="0" w:space="0" w:color="auto"/>
            <w:right w:val="none" w:sz="0" w:space="0" w:color="auto"/>
          </w:divBdr>
        </w:div>
        <w:div w:id="1107651472">
          <w:marLeft w:val="288"/>
          <w:marRight w:val="0"/>
          <w:marTop w:val="0"/>
          <w:marBottom w:val="80"/>
          <w:divBdr>
            <w:top w:val="none" w:sz="0" w:space="0" w:color="auto"/>
            <w:left w:val="none" w:sz="0" w:space="0" w:color="auto"/>
            <w:bottom w:val="none" w:sz="0" w:space="0" w:color="auto"/>
            <w:right w:val="none" w:sz="0" w:space="0" w:color="auto"/>
          </w:divBdr>
        </w:div>
        <w:div w:id="1924097654">
          <w:marLeft w:val="288"/>
          <w:marRight w:val="0"/>
          <w:marTop w:val="0"/>
          <w:marBottom w:val="80"/>
          <w:divBdr>
            <w:top w:val="none" w:sz="0" w:space="0" w:color="auto"/>
            <w:left w:val="none" w:sz="0" w:space="0" w:color="auto"/>
            <w:bottom w:val="none" w:sz="0" w:space="0" w:color="auto"/>
            <w:right w:val="none" w:sz="0" w:space="0" w:color="auto"/>
          </w:divBdr>
        </w:div>
      </w:divsChild>
    </w:div>
    <w:div w:id="1910462716">
      <w:bodyDiv w:val="1"/>
      <w:marLeft w:val="0"/>
      <w:marRight w:val="0"/>
      <w:marTop w:val="0"/>
      <w:marBottom w:val="0"/>
      <w:divBdr>
        <w:top w:val="none" w:sz="0" w:space="0" w:color="auto"/>
        <w:left w:val="none" w:sz="0" w:space="0" w:color="auto"/>
        <w:bottom w:val="none" w:sz="0" w:space="0" w:color="auto"/>
        <w:right w:val="none" w:sz="0" w:space="0" w:color="auto"/>
      </w:divBdr>
    </w:div>
    <w:div w:id="204986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well.co.uk/site/code-of-eth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DO 2017">
      <a:dk1>
        <a:srgbClr val="404040"/>
      </a:dk1>
      <a:lt1>
        <a:srgbClr val="FFFFFF"/>
      </a:lt1>
      <a:dk2>
        <a:srgbClr val="ED1A3B"/>
      </a:dk2>
      <a:lt2>
        <a:srgbClr val="218F8B"/>
      </a:lt2>
      <a:accent1>
        <a:srgbClr val="02A5E2"/>
      </a:accent1>
      <a:accent2>
        <a:srgbClr val="DF8639"/>
      </a:accent2>
      <a:accent3>
        <a:srgbClr val="98002E"/>
      </a:accent3>
      <a:accent4>
        <a:srgbClr val="657C91"/>
      </a:accent4>
      <a:accent5>
        <a:srgbClr val="E7E7E7"/>
      </a:accent5>
      <a:accent6>
        <a:srgbClr val="FFFFFF"/>
      </a:accent6>
      <a:hlink>
        <a:srgbClr val="FFFFFF"/>
      </a:hlink>
      <a:folHlink>
        <a:srgbClr val="FFFFFF"/>
      </a:folHlink>
    </a:clrScheme>
    <a:fontScheme name="BDO">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5B45-D03B-461B-A110-4E281D0B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Egert</dc:creator>
  <cp:lastModifiedBy>Andrew Lemon</cp:lastModifiedBy>
  <cp:revision>2</cp:revision>
  <cp:lastPrinted>2017-10-09T12:44:00Z</cp:lastPrinted>
  <dcterms:created xsi:type="dcterms:W3CDTF">2021-11-24T07:59:00Z</dcterms:created>
  <dcterms:modified xsi:type="dcterms:W3CDTF">2021-11-24T07:59:00Z</dcterms:modified>
</cp:coreProperties>
</file>